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foot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media/image3.jpeg" ContentType="image/jpeg"/>
  <Override PartName="/word/media/image2.jpeg" ContentType="image/jpe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rPr>
          <w:rFonts w:ascii="Times-Bold" w:hAnsi="Times-Bold" w:cs="Times-Bold"/>
          <w:b/>
          <w:b/>
          <w:bCs/>
          <w:sz w:val="21"/>
          <w:szCs w:val="21"/>
        </w:rPr>
      </w:pPr>
      <w:r>
        <w:rPr>
          <w:rFonts w:cs="Times-Bold" w:ascii="Times-Bold" w:hAnsi="Times-Bold"/>
          <w:b/>
          <w:bCs/>
          <w:sz w:val="21"/>
          <w:szCs w:val="21"/>
        </w:rPr>
      </w:r>
    </w:p>
    <w:p>
      <w:pPr>
        <w:pStyle w:val="Normal"/>
        <w:spacing w:lineRule="auto" w:line="240" w:before="0" w:after="0"/>
        <w:jc w:val="center"/>
        <w:rPr>
          <w:b/>
          <w:b/>
          <w:bCs/>
        </w:rPr>
      </w:pPr>
      <w:r>
        <w:rPr/>
        <w:drawing>
          <wp:inline distT="0" distB="0" distL="0" distR="0">
            <wp:extent cx="902970" cy="880745"/>
            <wp:effectExtent l="0" t="0" r="0" b="0"/>
            <wp:docPr id="1"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
                    <pic:cNvPicPr>
                      <a:picLocks noChangeAspect="1" noChangeArrowheads="1"/>
                    </pic:cNvPicPr>
                  </pic:nvPicPr>
                  <pic:blipFill>
                    <a:blip r:embed="rId2"/>
                    <a:stretch>
                      <a:fillRect/>
                    </a:stretch>
                  </pic:blipFill>
                  <pic:spPr bwMode="auto">
                    <a:xfrm>
                      <a:off x="0" y="0"/>
                      <a:ext cx="902970" cy="880745"/>
                    </a:xfrm>
                    <a:prstGeom prst="rect">
                      <a:avLst/>
                    </a:prstGeom>
                    <a:noFill/>
                    <a:ln w="9525">
                      <a:noFill/>
                      <a:miter lim="800000"/>
                      <a:headEnd/>
                      <a:tailEnd/>
                    </a:ln>
                  </pic:spPr>
                </pic:pic>
              </a:graphicData>
            </a:graphic>
          </wp:inline>
        </w:drawing>
      </w:r>
    </w:p>
    <w:p>
      <w:pPr>
        <w:pStyle w:val="Normal"/>
        <w:spacing w:lineRule="auto" w:line="360" w:before="0" w:after="0"/>
        <w:jc w:val="center"/>
        <w:rPr>
          <w:b/>
          <w:b/>
          <w:bCs/>
        </w:rPr>
      </w:pPr>
      <w:r>
        <w:rPr>
          <w:b/>
          <w:bCs/>
        </w:rPr>
        <w:t>PRESIDÊNCIA DA REPÚBLICA</w:t>
      </w:r>
    </w:p>
    <w:p>
      <w:pPr>
        <w:pStyle w:val="Normal"/>
        <w:spacing w:lineRule="auto" w:line="360" w:before="0" w:after="0"/>
        <w:jc w:val="center"/>
        <w:rPr>
          <w:b/>
          <w:b/>
          <w:bCs/>
        </w:rPr>
      </w:pPr>
      <w:r>
        <w:rPr>
          <w:b/>
          <w:bCs/>
        </w:rPr>
        <w:t>CONTROLADORIA-GERAL DA UNIÃO</w:t>
      </w:r>
    </w:p>
    <w:p>
      <w:pPr>
        <w:pStyle w:val="Normal"/>
        <w:spacing w:lineRule="auto" w:line="360" w:before="0" w:after="0"/>
        <w:jc w:val="center"/>
        <w:rPr>
          <w:b/>
          <w:b/>
          <w:bCs/>
        </w:rPr>
      </w:pPr>
      <w:r>
        <w:rPr>
          <w:b/>
          <w:bCs/>
        </w:rPr>
        <w:t>SECRETARIA FEDERAL DE CONTROLE INTERNO</w:t>
      </w:r>
    </w:p>
    <w:p>
      <w:pPr>
        <w:pStyle w:val="Normal"/>
        <w:spacing w:lineRule="auto" w:line="240" w:before="0" w:after="0"/>
        <w:rPr>
          <w:rFonts w:eastAsia="Times New Roman"/>
          <w:b/>
          <w:b/>
          <w:bCs/>
          <w:lang w:eastAsia="pt-BR"/>
        </w:rPr>
      </w:pPr>
      <w:r>
        <w:rPr>
          <w:rFonts w:eastAsia="Times New Roman"/>
          <w:b/>
          <w:bCs/>
          <w:lang w:eastAsia="pt-BR"/>
        </w:rPr>
      </w:r>
    </w:p>
    <w:p>
      <w:pPr>
        <w:pStyle w:val="Normal"/>
        <w:spacing w:lineRule="auto" w:line="240" w:before="0" w:after="0"/>
        <w:rPr>
          <w:rFonts w:eastAsia="Times New Roman"/>
          <w:bCs/>
          <w:lang w:eastAsia="pt-BR"/>
        </w:rPr>
      </w:pPr>
      <w:r>
        <w:rPr>
          <w:rFonts w:eastAsia="Times New Roman"/>
          <w:bCs/>
          <w:lang w:eastAsia="pt-BR"/>
        </w:rPr>
      </w:r>
    </w:p>
    <w:tbl>
      <w:tblPr>
        <w:tblStyle w:val="Tabelacomgrade"/>
        <w:tblW w:w="8644" w:type="dxa"/>
        <w:jc w:val="left"/>
        <w:tblInd w:w="0" w:type="dxa"/>
        <w:tblCellMar>
          <w:top w:w="0" w:type="dxa"/>
          <w:left w:w="108" w:type="dxa"/>
          <w:bottom w:w="0" w:type="dxa"/>
          <w:right w:w="108" w:type="dxa"/>
        </w:tblCellMar>
        <w:tblLook w:noVBand="1" w:val="04a0" w:noHBand="0" w:lastColumn="0" w:firstColumn="1" w:lastRow="0" w:firstRow="1"/>
      </w:tblPr>
      <w:tblGrid>
        <w:gridCol w:w="2376"/>
        <w:gridCol w:w="6267"/>
      </w:tblGrid>
      <w:tr>
        <w:trPr/>
        <w:tc>
          <w:tcPr>
            <w:tcW w:w="2376" w:type="dxa"/>
            <w:tcBorders>
              <w:top w:val="nil"/>
              <w:left w:val="nil"/>
              <w:bottom w:val="nil"/>
              <w:right w:val="nil"/>
              <w:insideH w:val="nil"/>
              <w:insideV w:val="nil"/>
            </w:tcBorders>
            <w:shd w:fill="auto" w:val="clear"/>
          </w:tcPr>
          <w:p>
            <w:pPr>
              <w:pStyle w:val="Normal"/>
              <w:spacing w:lineRule="auto" w:line="360" w:before="0" w:after="0"/>
              <w:rPr>
                <w:rFonts w:eastAsia="Times New Roman"/>
                <w:bCs/>
                <w:lang w:eastAsia="pt-BR"/>
              </w:rPr>
            </w:pPr>
            <w:r>
              <w:rPr>
                <w:rFonts w:eastAsia="Times New Roman"/>
                <w:bCs/>
                <w:lang w:eastAsia="pt-BR"/>
              </w:rPr>
              <w:t>Unidade Auditada:</w:t>
            </w:r>
          </w:p>
        </w:tc>
        <w:tc>
          <w:tcPr>
            <w:tcW w:w="6267" w:type="dxa"/>
            <w:tcBorders>
              <w:top w:val="nil"/>
              <w:left w:val="nil"/>
              <w:bottom w:val="nil"/>
              <w:right w:val="nil"/>
              <w:insideH w:val="nil"/>
              <w:insideV w:val="nil"/>
            </w:tcBorders>
            <w:shd w:fill="auto" w:val="clear"/>
          </w:tcPr>
          <w:p>
            <w:pPr>
              <w:pStyle w:val="Normal"/>
              <w:spacing w:lineRule="auto" w:line="360" w:before="0" w:after="0"/>
              <w:rPr>
                <w:rFonts w:eastAsia="Times New Roman"/>
                <w:bCs/>
                <w:lang w:eastAsia="pt-BR"/>
              </w:rPr>
            </w:pPr>
            <w:r>
              <w:rPr>
                <w:rFonts w:eastAsia="Times New Roman"/>
                <w:bCs/>
                <w:lang w:eastAsia="pt-BR"/>
              </w:rPr>
              <w:t>UNIVERSIDADE FEDERAL RURAL DE PERNAMBUCO</w:t>
            </w:r>
          </w:p>
        </w:tc>
      </w:tr>
      <w:tr>
        <w:trPr/>
        <w:tc>
          <w:tcPr>
            <w:tcW w:w="2376" w:type="dxa"/>
            <w:tcBorders>
              <w:top w:val="nil"/>
              <w:left w:val="nil"/>
              <w:bottom w:val="nil"/>
              <w:right w:val="nil"/>
              <w:insideH w:val="nil"/>
              <w:insideV w:val="nil"/>
            </w:tcBorders>
            <w:shd w:fill="auto" w:val="clear"/>
          </w:tcPr>
          <w:p>
            <w:pPr>
              <w:pStyle w:val="Normal"/>
              <w:spacing w:lineRule="auto" w:line="360" w:before="0" w:after="0"/>
              <w:rPr>
                <w:rFonts w:eastAsia="Times New Roman"/>
                <w:bCs/>
                <w:lang w:eastAsia="pt-BR"/>
              </w:rPr>
            </w:pPr>
            <w:r>
              <w:rPr>
                <w:rFonts w:eastAsia="Times New Roman"/>
                <w:lang w:eastAsia="pt-BR"/>
              </w:rPr>
              <w:t>Município - UF:</w:t>
            </w:r>
          </w:p>
        </w:tc>
        <w:tc>
          <w:tcPr>
            <w:tcW w:w="6267" w:type="dxa"/>
            <w:tcBorders>
              <w:top w:val="nil"/>
              <w:left w:val="nil"/>
              <w:bottom w:val="nil"/>
              <w:right w:val="nil"/>
              <w:insideH w:val="nil"/>
              <w:insideV w:val="nil"/>
            </w:tcBorders>
            <w:shd w:fill="auto" w:val="clear"/>
          </w:tcPr>
          <w:p>
            <w:pPr>
              <w:pStyle w:val="Normal"/>
              <w:spacing w:lineRule="auto" w:line="360" w:before="0" w:after="0"/>
              <w:rPr>
                <w:rFonts w:eastAsia="Times New Roman"/>
                <w:bCs/>
                <w:lang w:eastAsia="pt-BR"/>
              </w:rPr>
            </w:pPr>
            <w:r>
              <w:rPr>
                <w:rFonts w:eastAsia="Times New Roman"/>
                <w:bCs/>
                <w:lang w:eastAsia="pt-BR"/>
              </w:rPr>
              <w:t>Recife</w:t>
            </w:r>
            <w:r>
              <w:rPr/>
              <w:t xml:space="preserve"> </w:t>
            </w:r>
            <w:r>
              <w:rPr>
                <w:rFonts w:eastAsia="Times New Roman"/>
                <w:lang w:eastAsia="pt-BR"/>
              </w:rPr>
              <w:t xml:space="preserve">- </w:t>
            </w:r>
            <w:r>
              <w:rPr>
                <w:rFonts w:eastAsia="Times New Roman"/>
                <w:bCs/>
                <w:lang w:eastAsia="pt-BR"/>
              </w:rPr>
              <w:t>PE</w:t>
            </w:r>
          </w:p>
        </w:tc>
      </w:tr>
      <w:tr>
        <w:trPr/>
        <w:tc>
          <w:tcPr>
            <w:tcW w:w="2376" w:type="dxa"/>
            <w:tcBorders>
              <w:top w:val="nil"/>
              <w:left w:val="nil"/>
              <w:bottom w:val="nil"/>
              <w:right w:val="nil"/>
              <w:insideH w:val="nil"/>
              <w:insideV w:val="nil"/>
            </w:tcBorders>
            <w:shd w:fill="auto" w:val="clear"/>
          </w:tcPr>
          <w:p>
            <w:pPr>
              <w:pStyle w:val="Normal"/>
              <w:spacing w:lineRule="auto" w:line="360" w:before="0" w:after="0"/>
              <w:rPr>
                <w:rFonts w:eastAsia="Times New Roman"/>
                <w:bCs/>
                <w:lang w:eastAsia="pt-BR"/>
              </w:rPr>
            </w:pPr>
            <w:r>
              <w:rPr>
                <w:rFonts w:eastAsia="Times New Roman"/>
                <w:lang w:eastAsia="pt-BR"/>
              </w:rPr>
              <w:t>Relatório nº:</w:t>
            </w:r>
          </w:p>
        </w:tc>
        <w:tc>
          <w:tcPr>
            <w:tcW w:w="6267" w:type="dxa"/>
            <w:tcBorders>
              <w:top w:val="nil"/>
              <w:left w:val="nil"/>
              <w:bottom w:val="nil"/>
              <w:right w:val="nil"/>
              <w:insideH w:val="nil"/>
              <w:insideV w:val="nil"/>
            </w:tcBorders>
            <w:shd w:fill="auto" w:val="clear"/>
          </w:tcPr>
          <w:p>
            <w:pPr>
              <w:pStyle w:val="Normal"/>
              <w:spacing w:lineRule="auto" w:line="360" w:before="0" w:after="0"/>
              <w:rPr>
                <w:rFonts w:eastAsia="Times New Roman"/>
                <w:bCs/>
                <w:lang w:eastAsia="pt-BR"/>
              </w:rPr>
            </w:pPr>
            <w:r>
              <w:rPr>
                <w:rFonts w:eastAsia="Times New Roman"/>
                <w:bCs/>
                <w:lang w:eastAsia="pt-BR"/>
              </w:rPr>
              <w:t>201504965</w:t>
            </w:r>
          </w:p>
        </w:tc>
      </w:tr>
      <w:tr>
        <w:trPr/>
        <w:tc>
          <w:tcPr>
            <w:tcW w:w="2376" w:type="dxa"/>
            <w:tcBorders>
              <w:top w:val="nil"/>
              <w:left w:val="nil"/>
              <w:bottom w:val="nil"/>
              <w:right w:val="nil"/>
              <w:insideH w:val="nil"/>
              <w:insideV w:val="nil"/>
            </w:tcBorders>
            <w:shd w:fill="auto" w:val="clear"/>
          </w:tcPr>
          <w:p>
            <w:pPr>
              <w:pStyle w:val="Normal"/>
              <w:spacing w:lineRule="auto" w:line="360" w:before="0" w:after="0"/>
              <w:rPr>
                <w:rFonts w:eastAsia="Times New Roman"/>
                <w:bCs/>
                <w:lang w:eastAsia="pt-BR"/>
              </w:rPr>
            </w:pPr>
            <w:r>
              <w:rPr>
                <w:rFonts w:eastAsia="Times New Roman"/>
                <w:lang w:eastAsia="pt-BR"/>
              </w:rPr>
              <w:t>UCI Executora:</w:t>
            </w:r>
          </w:p>
        </w:tc>
        <w:tc>
          <w:tcPr>
            <w:tcW w:w="6267" w:type="dxa"/>
            <w:tcBorders>
              <w:top w:val="nil"/>
              <w:left w:val="nil"/>
              <w:bottom w:val="nil"/>
              <w:right w:val="nil"/>
              <w:insideH w:val="nil"/>
              <w:insideV w:val="nil"/>
            </w:tcBorders>
            <w:shd w:fill="auto" w:val="clear"/>
          </w:tcPr>
          <w:p>
            <w:pPr>
              <w:pStyle w:val="Normal"/>
              <w:spacing w:lineRule="auto" w:line="360" w:before="0" w:after="0"/>
              <w:rPr>
                <w:rFonts w:eastAsia="Times New Roman"/>
                <w:bCs/>
                <w:lang w:eastAsia="pt-BR"/>
              </w:rPr>
            </w:pPr>
            <w:r>
              <w:rPr>
                <w:rFonts w:eastAsia="Times New Roman"/>
                <w:bCs/>
                <w:lang w:eastAsia="pt-BR"/>
              </w:rPr>
              <w:t>CONTROLADORIA REGIONAL DA UNIÃO NO ESTADO DE PERNAMBUCO</w:t>
            </w:r>
          </w:p>
        </w:tc>
      </w:tr>
    </w:tbl>
    <w:p>
      <w:pPr>
        <w:pStyle w:val="Normal"/>
        <w:spacing w:lineRule="auto" w:line="240" w:before="0" w:after="0"/>
        <w:rPr>
          <w:rFonts w:eastAsia="Times New Roman"/>
          <w:bCs/>
          <w:lang w:eastAsia="pt-BR"/>
        </w:rPr>
      </w:pPr>
      <w:r>
        <w:rPr>
          <w:rFonts w:eastAsia="Times New Roman"/>
          <w:bCs/>
          <w:lang w:eastAsia="pt-BR"/>
        </w:rPr>
      </w:r>
    </w:p>
    <w:p>
      <w:pPr>
        <w:pStyle w:val="Normal"/>
        <w:spacing w:lineRule="auto" w:line="240" w:before="0" w:after="0"/>
        <w:jc w:val="center"/>
        <w:rPr>
          <w:rFonts w:eastAsia="Times New Roman"/>
          <w:b/>
          <w:b/>
          <w:lang w:eastAsia="pt-BR"/>
        </w:rPr>
      </w:pPr>
      <w:r>
        <w:rPr>
          <w:rFonts w:eastAsia="Times New Roman"/>
          <w:b/>
          <w:lang w:eastAsia="pt-BR"/>
        </w:rPr>
      </w:r>
    </w:p>
    <w:p>
      <w:pPr>
        <w:pStyle w:val="Normal"/>
        <w:spacing w:lineRule="auto" w:line="240" w:before="0" w:after="0"/>
        <w:jc w:val="center"/>
        <w:rPr>
          <w:rFonts w:eastAsia="Times New Roman"/>
          <w:b/>
          <w:b/>
          <w:lang w:eastAsia="pt-BR"/>
        </w:rPr>
      </w:pPr>
      <w:r>
        <w:rPr>
          <w:rFonts w:eastAsia="Times New Roman"/>
          <w:b/>
          <w:lang w:eastAsia="pt-BR"/>
        </w:rPr>
        <w:t>RELATÓRIO DE AUDITORIA</w:t>
      </w:r>
    </w:p>
    <w:p>
      <w:pPr>
        <w:pStyle w:val="Normal"/>
        <w:spacing w:lineRule="auto" w:line="240" w:before="0" w:after="0"/>
        <w:jc w:val="both"/>
        <w:rPr>
          <w:rFonts w:eastAsia="Times New Roman"/>
          <w:lang w:eastAsia="pt-BR"/>
        </w:rPr>
      </w:pPr>
      <w:r>
        <w:rPr>
          <w:rFonts w:eastAsia="Times New Roman"/>
          <w:lang w:eastAsia="pt-BR"/>
        </w:rPr>
      </w:r>
    </w:p>
    <w:p>
      <w:pPr>
        <w:pStyle w:val="Normal"/>
        <w:spacing w:lineRule="auto" w:line="240" w:before="0" w:after="0"/>
        <w:jc w:val="both"/>
        <w:rPr>
          <w:rFonts w:eastAsia="Times New Roman"/>
          <w:lang w:eastAsia="pt-BR"/>
        </w:rPr>
      </w:pPr>
      <w:r>
        <w:rPr>
          <w:rFonts w:eastAsia="Times New Roman"/>
          <w:bCs/>
          <w:lang w:eastAsia="pt-BR"/>
        </w:rPr>
        <w:t>Senhor Chefe da CGU-Regional/PE</w:t>
      </w:r>
      <w:r>
        <w:rPr>
          <w:rFonts w:eastAsia="Times New Roman"/>
          <w:lang w:eastAsia="pt-BR"/>
        </w:rPr>
        <w:t xml:space="preserve">, </w:t>
      </w:r>
    </w:p>
    <w:p>
      <w:pPr>
        <w:pStyle w:val="Normal"/>
        <w:spacing w:before="0" w:after="0"/>
        <w:jc w:val="both"/>
        <w:rPr/>
      </w:pPr>
      <w:r>
        <w:rPr/>
      </w:r>
    </w:p>
    <w:p>
      <w:pPr>
        <w:pStyle w:val="Normal"/>
        <w:rPr>
          <w:sz w:val="16"/>
          <w:szCs w:val="16"/>
        </w:rPr>
      </w:pPr>
      <w:r>
        <w:rPr>
          <w:sz w:val="16"/>
          <w:szCs w:val="16"/>
        </w:rPr>
      </w:r>
    </w:p>
    <w:p>
      <w:pPr>
        <w:pStyle w:val="Normal"/>
        <w:jc w:val="both"/>
        <w:rPr>
          <w:sz w:val="16"/>
          <w:szCs w:val="16"/>
        </w:rPr>
      </w:pPr>
      <w:r>
        <w:rPr/>
        <w:t>Em atendimento à determinação contida na Ordem de Serviço nº 201504965, apresentamos os resultados dos exames realizados sob atos e consequentes fatos de gestão no que se refere à avaliação da execução do PAINT, ocorridos na supra-referida, no período de 01/01/2015 a 30/09/2015.</w:t>
      </w:r>
    </w:p>
    <w:p>
      <w:pPr>
        <w:pStyle w:val="Normal"/>
        <w:spacing w:lineRule="auto" w:line="240" w:before="0" w:after="0"/>
        <w:rPr>
          <w:rFonts w:eastAsia="Times New Roman"/>
          <w:lang w:eastAsia="pt-BR"/>
        </w:rPr>
      </w:pPr>
      <w:r>
        <w:rPr>
          <w:rFonts w:eastAsia="Times New Roman"/>
          <w:lang w:eastAsia="pt-BR"/>
        </w:rPr>
      </w:r>
    </w:p>
    <w:p>
      <w:pPr>
        <w:pStyle w:val="Normal"/>
        <w:spacing w:lineRule="auto" w:line="240" w:before="0" w:after="0"/>
        <w:rPr>
          <w:rFonts w:eastAsia="Times New Roman"/>
          <w:b/>
          <w:b/>
          <w:lang w:eastAsia="pt-BR"/>
        </w:rPr>
      </w:pPr>
      <w:r>
        <w:rPr>
          <w:rFonts w:eastAsia="Times New Roman"/>
          <w:b/>
          <w:lang w:eastAsia="pt-BR"/>
        </w:rPr>
        <w:t>I – ESCOPO DO TRABALHO</w:t>
      </w:r>
    </w:p>
    <w:p>
      <w:pPr>
        <w:pStyle w:val="Normal"/>
        <w:spacing w:lineRule="auto" w:line="240" w:before="0" w:after="0"/>
        <w:jc w:val="both"/>
        <w:rPr>
          <w:rFonts w:eastAsia="Times New Roman"/>
          <w:lang w:eastAsia="pt-BR"/>
        </w:rPr>
      </w:pPr>
      <w:r>
        <w:rPr>
          <w:rFonts w:eastAsia="Times New Roman"/>
          <w:lang w:eastAsia="pt-BR"/>
        </w:rPr>
      </w:r>
    </w:p>
    <w:p>
      <w:pPr>
        <w:pStyle w:val="Normal"/>
        <w:rPr>
          <w:sz w:val="16"/>
          <w:szCs w:val="16"/>
        </w:rPr>
      </w:pPr>
      <w:r>
        <w:rPr>
          <w:sz w:val="16"/>
          <w:szCs w:val="16"/>
        </w:rPr>
      </w:r>
    </w:p>
    <w:p>
      <w:pPr>
        <w:pStyle w:val="Normal"/>
        <w:jc w:val="both"/>
        <w:rPr>
          <w:sz w:val="16"/>
          <w:szCs w:val="16"/>
        </w:rPr>
      </w:pPr>
      <w:r>
        <w:rPr/>
        <w:t>Os trabalhos foram realizados na sede da Universidade Federal Rural de Pernambuco - UFRPE em Recife/PE, no período de 14 a 23 de outubro de 2015, em estrita observância às normas de auditoria aplicáveis ao serviço público federal, objetivando o acompanhamento preventivo dos atos e fatos de gestão ocorridos no período de abrangência do trabalho, qual seja, 01/01/2015 a 30/09/2015. Nenhuma restrição foi imposta aos nossos exames, realizados por amostragem, sobre a área de Atuação da Auditoria Interna.</w:t>
      </w:r>
    </w:p>
    <w:p>
      <w:pPr>
        <w:pStyle w:val="Normal"/>
        <w:spacing w:lineRule="auto" w:line="240" w:before="0" w:after="0"/>
        <w:jc w:val="both"/>
        <w:rPr>
          <w:rFonts w:eastAsia="Times New Roman"/>
          <w:lang w:eastAsia="pt-BR"/>
        </w:rPr>
      </w:pPr>
      <w:r>
        <w:rPr>
          <w:rFonts w:eastAsia="Times New Roman"/>
          <w:lang w:eastAsia="pt-BR"/>
        </w:rPr>
      </w:r>
    </w:p>
    <w:p>
      <w:pPr>
        <w:pStyle w:val="Normal"/>
        <w:spacing w:lineRule="auto" w:line="360" w:before="0" w:after="0"/>
        <w:rPr>
          <w:rFonts w:eastAsia="Times New Roman"/>
          <w:b/>
          <w:b/>
          <w:lang w:eastAsia="pt-BR"/>
        </w:rPr>
      </w:pPr>
      <w:r>
        <w:rPr>
          <w:rFonts w:eastAsia="Times New Roman"/>
          <w:b/>
          <w:lang w:eastAsia="pt-BR"/>
        </w:rPr>
        <w:t>II – RESULTADO DOS EXAMES</w:t>
      </w:r>
    </w:p>
    <w:p>
      <w:pPr>
        <w:pStyle w:val="Normal"/>
        <w:spacing w:lineRule="auto" w:line="360" w:before="0" w:after="0"/>
        <w:rPr>
          <w:rFonts w:eastAsia="Times New Roman"/>
          <w:b/>
          <w:b/>
          <w:lang w:eastAsia="pt-BR"/>
        </w:rPr>
      </w:pPr>
      <w:r>
        <w:rPr>
          <w:b/>
        </w:rPr>
        <w:t xml:space="preserve">1 CONTROLES DA GESTÃO                          </w:t>
      </w:r>
    </w:p>
    <w:p>
      <w:pPr>
        <w:pStyle w:val="Normal"/>
        <w:spacing w:lineRule="auto" w:line="360" w:before="0" w:after="0"/>
        <w:rPr>
          <w:b/>
          <w:b/>
        </w:rPr>
      </w:pPr>
      <w:r>
        <w:rPr>
          <w:b/>
        </w:rPr>
        <w:t xml:space="preserve">1.1 CONTROLES INTERNOS                            </w:t>
      </w:r>
    </w:p>
    <w:p>
      <w:pPr>
        <w:pStyle w:val="Normal"/>
        <w:spacing w:lineRule="auto" w:line="360" w:before="0" w:after="0"/>
        <w:rPr>
          <w:b/>
          <w:b/>
        </w:rPr>
      </w:pPr>
      <w:r>
        <w:rPr>
          <w:b/>
        </w:rPr>
        <w:t xml:space="preserve">1.1.1 ATUAÇÃO DA AUDITORIA INTERNA                  </w:t>
      </w:r>
    </w:p>
    <w:p>
      <w:pPr>
        <w:pStyle w:val="Normal"/>
        <w:spacing w:lineRule="auto" w:line="240" w:before="0" w:after="0"/>
        <w:rPr>
          <w:rFonts w:ascii="Arial" w:hAnsi="Arial" w:cs="Arial"/>
          <w:b/>
          <w:b/>
        </w:rPr>
      </w:pPr>
      <w:r>
        <w:rPr>
          <w:b/>
        </w:rPr>
        <w:t>1.1.1.1</w:t>
      </w:r>
      <w:r>
        <w:rPr>
          <w:rFonts w:cs="Arial" w:ascii="Arial" w:hAnsi="Arial"/>
          <w:b/>
        </w:rPr>
        <w:t xml:space="preserve"> </w:t>
      </w:r>
      <w:r>
        <w:rPr>
          <w:b/>
        </w:rPr>
        <w:t>INFORMAÇÃO</w:t>
      </w:r>
    </w:p>
    <w:p>
      <w:pPr>
        <w:pStyle w:val="Normal"/>
        <w:spacing w:lineRule="auto" w:line="240" w:before="0" w:after="0"/>
        <w:rPr>
          <w:b/>
          <w:b/>
        </w:rPr>
      </w:pPr>
      <w:r>
        <w:rPr>
          <w:b/>
        </w:rPr>
      </w:r>
    </w:p>
    <w:p>
      <w:pPr>
        <w:pStyle w:val="Normal"/>
        <w:spacing w:lineRule="auto" w:line="240" w:before="0" w:after="0"/>
        <w:jc w:val="both"/>
        <w:rPr>
          <w:b/>
          <w:b/>
        </w:rPr>
      </w:pPr>
      <w:r>
        <w:rPr>
          <w:b/>
        </w:rPr>
        <w:t>Atendimento às recomendações da CGU-Regional/PE registradas em análise prévia do PAINT 2015 da UFRPE e sua aprovação pelo Conselho Universitário.</w:t>
      </w:r>
    </w:p>
    <w:p>
      <w:pPr>
        <w:pStyle w:val="Normal"/>
        <w:spacing w:lineRule="auto" w:line="240" w:before="0" w:after="0"/>
        <w:rPr/>
      </w:pPr>
      <w:r>
        <w:rPr/>
      </w:r>
    </w:p>
    <w:p>
      <w:pPr>
        <w:pStyle w:val="Normal"/>
        <w:spacing w:lineRule="auto" w:line="240" w:before="0" w:after="0"/>
        <w:rPr>
          <w:rFonts w:ascii="Arial" w:hAnsi="Arial" w:cs="Arial"/>
          <w:b/>
          <w:b/>
        </w:rPr>
      </w:pPr>
      <w:r>
        <w:rPr>
          <w:b/>
        </w:rPr>
        <w:t>Fato</w:t>
      </w:r>
    </w:p>
    <w:p>
      <w:pPr>
        <w:pStyle w:val="Normal"/>
        <w:spacing w:lineRule="auto" w:line="240" w:before="0" w:after="0"/>
        <w:rPr>
          <w:b/>
          <w:b/>
        </w:rPr>
      </w:pPr>
      <w:r>
        <w:rPr>
          <w:b/>
        </w:rPr>
      </w:r>
    </w:p>
    <w:p>
      <w:pPr>
        <w:pStyle w:val="Normal"/>
        <w:spacing w:beforeAutospacing="1" w:afterAutospacing="1"/>
        <w:contextualSpacing/>
        <w:jc w:val="both"/>
        <w:rPr>
          <w:rFonts w:eastAsia="Times New Roman"/>
          <w:bCs/>
          <w:lang w:eastAsia="pt-BR"/>
        </w:rPr>
      </w:pPr>
      <w:r>
        <w:rPr/>
        <w:t xml:space="preserve">No Relatório de Auditoria nº </w:t>
      </w:r>
      <w:r>
        <w:rPr>
          <w:rFonts w:eastAsia="Times New Roman"/>
          <w:bCs/>
          <w:lang w:eastAsia="pt-BR"/>
        </w:rPr>
        <w:t xml:space="preserve">201411215 (item 1.1.1.3) registrou-se o atendimento das recomendações da CGU/Regional/PE registradas na análise prévia do </w:t>
      </w:r>
      <w:r>
        <w:rPr/>
        <w:t>o Plano Anual de Atividades de Auditoria Interna para o exercício de 2015</w:t>
      </w:r>
      <w:r>
        <w:rPr>
          <w:rFonts w:eastAsia="Times New Roman"/>
          <w:bCs/>
          <w:lang w:eastAsia="pt-BR"/>
        </w:rPr>
        <w:t xml:space="preserve">, bem como sua aprovação pelo </w:t>
      </w:r>
      <w:r>
        <w:rPr/>
        <w:t>Conselho Universitário da UFRPE</w:t>
      </w:r>
      <w:r>
        <w:rPr>
          <w:rFonts w:eastAsia="Times New Roman"/>
          <w:bCs/>
          <w:lang w:eastAsia="pt-BR"/>
        </w:rPr>
        <w:t>.</w:t>
      </w:r>
    </w:p>
    <w:p>
      <w:pPr>
        <w:pStyle w:val="Normal"/>
        <w:spacing w:lineRule="auto" w:line="240" w:beforeAutospacing="1" w:afterAutospacing="1"/>
        <w:contextualSpacing/>
        <w:jc w:val="both"/>
        <w:rPr/>
      </w:pPr>
      <w:r>
        <w:rPr/>
        <w:t xml:space="preserve"> </w:t>
      </w:r>
    </w:p>
    <w:p>
      <w:pPr>
        <w:pStyle w:val="Normal"/>
        <w:spacing w:lineRule="auto" w:line="240" w:beforeAutospacing="1" w:afterAutospacing="1"/>
        <w:contextualSpacing/>
        <w:jc w:val="both"/>
        <w:rPr>
          <w:color w:val="FFFFFF" w:themeColor="background1"/>
          <w:spacing w:val="0"/>
          <w:sz w:val="2"/>
          <w:szCs w:val="2"/>
        </w:rPr>
      </w:pPr>
      <w:r>
        <w:rPr>
          <w:color w:val="FFFFFF" w:themeColor="background1"/>
          <w:spacing w:val="0"/>
          <w:sz w:val="2"/>
          <w:szCs w:val="2"/>
        </w:rPr>
        <w:t>##/Fato##</w:t>
      </w:r>
    </w:p>
    <w:p>
      <w:pPr>
        <w:pStyle w:val="Normal"/>
        <w:spacing w:lineRule="auto" w:line="240" w:before="0" w:after="0"/>
        <w:rPr>
          <w:rFonts w:ascii="Arial" w:hAnsi="Arial" w:cs="Arial"/>
          <w:b/>
          <w:b/>
        </w:rPr>
      </w:pPr>
      <w:r>
        <w:rPr>
          <w:b/>
        </w:rPr>
        <w:t>1.1.1.2</w:t>
      </w:r>
      <w:r>
        <w:rPr>
          <w:rFonts w:cs="Arial" w:ascii="Arial" w:hAnsi="Arial"/>
          <w:b/>
        </w:rPr>
        <w:t xml:space="preserve"> </w:t>
      </w:r>
      <w:r>
        <w:rPr>
          <w:b/>
        </w:rPr>
        <w:t>INFORMAÇÃO</w:t>
      </w:r>
    </w:p>
    <w:p>
      <w:pPr>
        <w:pStyle w:val="Normal"/>
        <w:spacing w:lineRule="auto" w:line="240" w:before="0" w:after="0"/>
        <w:rPr>
          <w:b/>
          <w:b/>
        </w:rPr>
      </w:pPr>
      <w:r>
        <w:rPr>
          <w:b/>
        </w:rPr>
      </w:r>
    </w:p>
    <w:p>
      <w:pPr>
        <w:pStyle w:val="Normal"/>
        <w:spacing w:lineRule="auto" w:line="240" w:before="0" w:after="0"/>
        <w:jc w:val="both"/>
        <w:rPr>
          <w:b/>
          <w:b/>
        </w:rPr>
      </w:pPr>
      <w:r>
        <w:rPr>
          <w:b/>
        </w:rPr>
        <w:t>Total dos recursos geridos pela UFRPE e o total de recursos auditados pela Auditoria Interna no exercício de 2015.</w:t>
      </w:r>
    </w:p>
    <w:p>
      <w:pPr>
        <w:pStyle w:val="Normal"/>
        <w:spacing w:lineRule="auto" w:line="240" w:before="0" w:after="0"/>
        <w:rPr/>
      </w:pPr>
      <w:r>
        <w:rPr/>
      </w:r>
    </w:p>
    <w:p>
      <w:pPr>
        <w:pStyle w:val="Normal"/>
        <w:spacing w:lineRule="auto" w:line="240" w:before="0" w:after="0"/>
        <w:rPr>
          <w:rFonts w:ascii="Arial" w:hAnsi="Arial" w:cs="Arial"/>
          <w:b/>
          <w:b/>
        </w:rPr>
      </w:pPr>
      <w:r>
        <w:rPr>
          <w:b/>
        </w:rPr>
        <w:t>Fato</w:t>
      </w:r>
    </w:p>
    <w:p>
      <w:pPr>
        <w:pStyle w:val="Normal"/>
        <w:spacing w:lineRule="auto" w:line="240" w:before="0" w:after="0"/>
        <w:rPr>
          <w:b/>
          <w:b/>
        </w:rPr>
      </w:pPr>
      <w:r>
        <w:rPr>
          <w:b/>
        </w:rPr>
      </w:r>
    </w:p>
    <w:p>
      <w:pPr>
        <w:pStyle w:val="Normal"/>
        <w:jc w:val="both"/>
        <w:rPr/>
      </w:pPr>
      <w:r>
        <w:rPr/>
        <w:t>Com base nas informações contidas no Ofício nº 15/2015-AUDIN, de 23 de outubro de 2015, e no valor da proposta de orçamento 2015 para a UFRPE, a Unidade de Auditoria Interna da IFES tem como previsão auditar 72,94 % dos recursos geridos pela UFRPE durante o exercício de 2015, conforme quadro a seguir:</w:t>
      </w:r>
    </w:p>
    <w:tbl>
      <w:tblPr>
        <w:tblW w:w="5000" w:type="pct"/>
        <w:jc w:val="left"/>
        <w:tblInd w:w="-3" w:type="dxa"/>
        <w:tblBorders>
          <w:top w:val="single" w:sz="6" w:space="0" w:color="000001"/>
          <w:left w:val="single" w:sz="6" w:space="0" w:color="000001"/>
          <w:bottom w:val="single" w:sz="6" w:space="0" w:color="000001"/>
          <w:insideH w:val="single" w:sz="6" w:space="0" w:color="000001"/>
        </w:tblBorders>
        <w:tblCellMar>
          <w:top w:w="57" w:type="dxa"/>
          <w:left w:w="49" w:type="dxa"/>
          <w:bottom w:w="57" w:type="dxa"/>
          <w:right w:w="0" w:type="dxa"/>
        </w:tblCellMar>
        <w:tblLook w:noVBand="1" w:val="04a0" w:noHBand="0" w:lastColumn="0" w:firstColumn="1" w:lastRow="0" w:firstRow="1"/>
      </w:tblPr>
      <w:tblGrid>
        <w:gridCol w:w="1617"/>
        <w:gridCol w:w="1786"/>
        <w:gridCol w:w="2380"/>
        <w:gridCol w:w="2720"/>
      </w:tblGrid>
      <w:tr>
        <w:trPr/>
        <w:tc>
          <w:tcPr>
            <w:tcW w:w="3403" w:type="dxa"/>
            <w:gridSpan w:val="2"/>
            <w:tcBorders>
              <w:top w:val="single" w:sz="6" w:space="0" w:color="000001"/>
              <w:left w:val="single" w:sz="6" w:space="0" w:color="000001"/>
              <w:bottom w:val="single" w:sz="6" w:space="0" w:color="000001"/>
              <w:insideH w:val="single" w:sz="6" w:space="0" w:color="000001"/>
            </w:tcBorders>
            <w:shd w:fill="auto" w:val="clear"/>
            <w:tcMar>
              <w:left w:w="49" w:type="dxa"/>
            </w:tcMar>
          </w:tcPr>
          <w:p>
            <w:pPr>
              <w:pStyle w:val="Normal"/>
              <w:spacing w:lineRule="auto" w:line="288" w:beforeAutospacing="1" w:after="200"/>
              <w:jc w:val="center"/>
              <w:rPr>
                <w:sz w:val="20"/>
                <w:szCs w:val="20"/>
              </w:rPr>
            </w:pPr>
            <w:r>
              <w:rPr>
                <w:b/>
                <w:bCs/>
                <w:color w:val="000000"/>
                <w:sz w:val="20"/>
                <w:szCs w:val="20"/>
              </w:rPr>
              <w:t>Volume de Recursos auditados</w:t>
            </w:r>
          </w:p>
        </w:tc>
        <w:tc>
          <w:tcPr>
            <w:tcW w:w="2380" w:type="dxa"/>
            <w:vMerge w:val="restart"/>
            <w:tcBorders>
              <w:top w:val="single" w:sz="6" w:space="0" w:color="000001"/>
              <w:left w:val="single" w:sz="6" w:space="0" w:color="000001"/>
              <w:bottom w:val="single" w:sz="6" w:space="0" w:color="000001"/>
              <w:insideH w:val="single" w:sz="6" w:space="0" w:color="000001"/>
            </w:tcBorders>
            <w:shd w:fill="auto" w:val="clear"/>
            <w:tcMar>
              <w:left w:w="49" w:type="dxa"/>
            </w:tcMar>
            <w:vAlign w:val="center"/>
          </w:tcPr>
          <w:p>
            <w:pPr>
              <w:pStyle w:val="Normal"/>
              <w:spacing w:lineRule="auto" w:line="288" w:beforeAutospacing="1" w:after="200"/>
              <w:jc w:val="center"/>
              <w:rPr>
                <w:sz w:val="20"/>
                <w:szCs w:val="20"/>
              </w:rPr>
            </w:pPr>
            <w:r>
              <w:rPr>
                <w:b/>
                <w:bCs/>
                <w:color w:val="000000"/>
                <w:sz w:val="20"/>
                <w:szCs w:val="20"/>
              </w:rPr>
              <w:t xml:space="preserve">Volume de recursos geridos pela UJ(*). </w:t>
            </w:r>
          </w:p>
        </w:tc>
        <w:tc>
          <w:tcPr>
            <w:tcW w:w="2720" w:type="dxa"/>
            <w:vMerge w:val="restart"/>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49" w:type="dxa"/>
              <w:right w:w="57" w:type="dxa"/>
            </w:tcMar>
            <w:vAlign w:val="center"/>
          </w:tcPr>
          <w:p>
            <w:pPr>
              <w:pStyle w:val="Normal"/>
              <w:spacing w:lineRule="auto" w:line="288" w:beforeAutospacing="1" w:after="200"/>
              <w:jc w:val="center"/>
              <w:rPr>
                <w:sz w:val="20"/>
                <w:szCs w:val="20"/>
              </w:rPr>
            </w:pPr>
            <w:r>
              <w:rPr>
                <w:b/>
                <w:bCs/>
                <w:color w:val="000000"/>
                <w:sz w:val="20"/>
                <w:szCs w:val="20"/>
              </w:rPr>
              <w:t xml:space="preserve">Percentagem de recursos auditados ou a serem auditados pela AUDIN (A/B) </w:t>
            </w:r>
          </w:p>
        </w:tc>
      </w:tr>
      <w:tr>
        <w:trPr/>
        <w:tc>
          <w:tcPr>
            <w:tcW w:w="1617" w:type="dxa"/>
            <w:tcBorders>
              <w:left w:val="single" w:sz="6" w:space="0" w:color="000001"/>
              <w:bottom w:val="single" w:sz="6" w:space="0" w:color="000001"/>
              <w:insideH w:val="single" w:sz="6" w:space="0" w:color="000001"/>
            </w:tcBorders>
            <w:shd w:fill="auto" w:val="clear"/>
            <w:tcMar>
              <w:top w:w="0" w:type="dxa"/>
              <w:left w:w="49" w:type="dxa"/>
            </w:tcMar>
          </w:tcPr>
          <w:p>
            <w:pPr>
              <w:pStyle w:val="Normal"/>
              <w:spacing w:lineRule="auto" w:line="288" w:beforeAutospacing="1" w:after="200"/>
              <w:rPr>
                <w:sz w:val="20"/>
                <w:szCs w:val="20"/>
              </w:rPr>
            </w:pPr>
            <w:r>
              <w:rPr>
                <w:b/>
                <w:bCs/>
                <w:color w:val="000000"/>
                <w:sz w:val="20"/>
                <w:szCs w:val="20"/>
              </w:rPr>
              <w:t>Ação de Controle em execução.</w:t>
            </w:r>
          </w:p>
        </w:tc>
        <w:tc>
          <w:tcPr>
            <w:tcW w:w="1786" w:type="dxa"/>
            <w:tcBorders>
              <w:left w:val="single" w:sz="6" w:space="0" w:color="000001"/>
              <w:bottom w:val="single" w:sz="6" w:space="0" w:color="000001"/>
              <w:insideH w:val="single" w:sz="6" w:space="0" w:color="000001"/>
            </w:tcBorders>
            <w:shd w:fill="auto" w:val="clear"/>
            <w:tcMar>
              <w:top w:w="0" w:type="dxa"/>
              <w:left w:w="49" w:type="dxa"/>
            </w:tcMar>
          </w:tcPr>
          <w:p>
            <w:pPr>
              <w:pStyle w:val="Normal"/>
              <w:spacing w:lineRule="auto" w:line="288" w:beforeAutospacing="1" w:after="200"/>
              <w:rPr>
                <w:sz w:val="20"/>
                <w:szCs w:val="20"/>
              </w:rPr>
            </w:pPr>
            <w:r>
              <w:rPr>
                <w:b/>
                <w:bCs/>
                <w:color w:val="000000"/>
                <w:sz w:val="20"/>
                <w:szCs w:val="20"/>
              </w:rPr>
              <w:t>Volume recursos em auditagem.</w:t>
            </w:r>
          </w:p>
        </w:tc>
        <w:tc>
          <w:tcPr>
            <w:tcW w:w="2380" w:type="dxa"/>
            <w:vMerge w:val="continue"/>
            <w:tcBorders>
              <w:top w:val="single" w:sz="6" w:space="0" w:color="000001"/>
              <w:left w:val="single" w:sz="6" w:space="0" w:color="000001"/>
              <w:bottom w:val="single" w:sz="6" w:space="0" w:color="000001"/>
              <w:insideH w:val="single" w:sz="6" w:space="0" w:color="000001"/>
            </w:tcBorders>
            <w:shd w:fill="auto" w:val="clear"/>
            <w:tcMar>
              <w:top w:w="60" w:type="dxa"/>
              <w:left w:w="52" w:type="dxa"/>
              <w:bottom w:w="60" w:type="dxa"/>
              <w:right w:w="60" w:type="dxa"/>
            </w:tcMar>
            <w:vAlign w:val="center"/>
          </w:tcPr>
          <w:p>
            <w:pPr>
              <w:pStyle w:val="Normal"/>
              <w:rPr>
                <w:sz w:val="20"/>
                <w:szCs w:val="20"/>
              </w:rPr>
            </w:pPr>
            <w:r>
              <w:rPr>
                <w:sz w:val="20"/>
                <w:szCs w:val="20"/>
              </w:rPr>
            </w:r>
          </w:p>
        </w:tc>
        <w:tc>
          <w:tcPr>
            <w:tcW w:w="2720" w:type="dxa"/>
            <w:vMerge w:val="continue"/>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top w:w="60" w:type="dxa"/>
              <w:left w:w="52" w:type="dxa"/>
              <w:bottom w:w="60" w:type="dxa"/>
              <w:right w:w="60" w:type="dxa"/>
            </w:tcMar>
            <w:vAlign w:val="center"/>
          </w:tcPr>
          <w:p>
            <w:pPr>
              <w:pStyle w:val="Normal"/>
              <w:rPr>
                <w:sz w:val="20"/>
                <w:szCs w:val="20"/>
              </w:rPr>
            </w:pPr>
            <w:r>
              <w:rPr>
                <w:sz w:val="20"/>
                <w:szCs w:val="20"/>
              </w:rPr>
            </w:r>
          </w:p>
        </w:tc>
      </w:tr>
      <w:tr>
        <w:trPr/>
        <w:tc>
          <w:tcPr>
            <w:tcW w:w="1617" w:type="dxa"/>
            <w:tcBorders>
              <w:left w:val="single" w:sz="6" w:space="0" w:color="000001"/>
              <w:bottom w:val="single" w:sz="6" w:space="0" w:color="000001"/>
              <w:insideH w:val="single" w:sz="6" w:space="0" w:color="000001"/>
            </w:tcBorders>
            <w:shd w:fill="auto" w:val="clear"/>
            <w:tcMar>
              <w:top w:w="0" w:type="dxa"/>
              <w:left w:w="49" w:type="dxa"/>
            </w:tcMar>
          </w:tcPr>
          <w:p>
            <w:pPr>
              <w:pStyle w:val="Normal"/>
              <w:spacing w:lineRule="auto" w:line="288" w:beforeAutospacing="1" w:after="200"/>
              <w:jc w:val="center"/>
              <w:rPr>
                <w:sz w:val="20"/>
                <w:szCs w:val="20"/>
              </w:rPr>
            </w:pPr>
            <w:r>
              <w:rPr>
                <w:sz w:val="20"/>
                <w:szCs w:val="20"/>
              </w:rPr>
              <w:t>10/2015</w:t>
            </w:r>
          </w:p>
        </w:tc>
        <w:tc>
          <w:tcPr>
            <w:tcW w:w="1786" w:type="dxa"/>
            <w:tcBorders>
              <w:left w:val="single" w:sz="6" w:space="0" w:color="000001"/>
              <w:bottom w:val="single" w:sz="6" w:space="0" w:color="000001"/>
              <w:insideH w:val="single" w:sz="6" w:space="0" w:color="000001"/>
            </w:tcBorders>
            <w:shd w:fill="auto" w:val="clear"/>
            <w:tcMar>
              <w:top w:w="0" w:type="dxa"/>
              <w:left w:w="49" w:type="dxa"/>
            </w:tcMar>
          </w:tcPr>
          <w:p>
            <w:pPr>
              <w:pStyle w:val="Normal"/>
              <w:spacing w:lineRule="auto" w:line="288" w:beforeAutospacing="1" w:after="200"/>
              <w:jc w:val="right"/>
              <w:rPr>
                <w:sz w:val="20"/>
                <w:szCs w:val="20"/>
              </w:rPr>
            </w:pPr>
            <w:r>
              <w:rPr>
                <w:sz w:val="20"/>
                <w:szCs w:val="20"/>
              </w:rPr>
              <w:t>R$ 3.280.050,10</w:t>
            </w:r>
          </w:p>
        </w:tc>
        <w:tc>
          <w:tcPr>
            <w:tcW w:w="2380" w:type="dxa"/>
            <w:tcBorders>
              <w:left w:val="single" w:sz="6" w:space="0" w:color="000001"/>
              <w:bottom w:val="single" w:sz="6" w:space="0" w:color="000001"/>
              <w:insideH w:val="single" w:sz="6" w:space="0" w:color="000001"/>
            </w:tcBorders>
            <w:shd w:fill="auto" w:val="clear"/>
            <w:tcMar>
              <w:top w:w="0" w:type="dxa"/>
              <w:left w:w="49" w:type="dxa"/>
            </w:tcMar>
          </w:tcPr>
          <w:p>
            <w:pPr>
              <w:pStyle w:val="Normal"/>
              <w:spacing w:lineRule="auto" w:line="288" w:beforeAutospacing="1" w:after="200"/>
              <w:jc w:val="right"/>
              <w:rPr>
                <w:sz w:val="20"/>
                <w:szCs w:val="20"/>
              </w:rPr>
            </w:pPr>
            <w:r>
              <w:rPr>
                <w:sz w:val="20"/>
                <w:szCs w:val="20"/>
              </w:rPr>
              <w:t>R$ 10.082.147,60</w:t>
            </w:r>
          </w:p>
        </w:tc>
        <w:tc>
          <w:tcPr>
            <w:tcW w:w="2720" w:type="dxa"/>
            <w:tcBorders>
              <w:left w:val="single" w:sz="6" w:space="0" w:color="000001"/>
              <w:bottom w:val="single" w:sz="6" w:space="0" w:color="000001"/>
              <w:right w:val="single" w:sz="6" w:space="0" w:color="000001"/>
              <w:insideH w:val="single" w:sz="6" w:space="0" w:color="000001"/>
              <w:insideV w:val="single" w:sz="6" w:space="0" w:color="000001"/>
            </w:tcBorders>
            <w:shd w:fill="auto" w:val="clear"/>
            <w:tcMar>
              <w:top w:w="0" w:type="dxa"/>
              <w:left w:w="49" w:type="dxa"/>
              <w:right w:w="57" w:type="dxa"/>
            </w:tcMar>
          </w:tcPr>
          <w:p>
            <w:pPr>
              <w:pStyle w:val="Normal"/>
              <w:spacing w:lineRule="auto" w:line="288" w:beforeAutospacing="1" w:after="200"/>
              <w:jc w:val="center"/>
              <w:rPr>
                <w:sz w:val="20"/>
                <w:szCs w:val="20"/>
              </w:rPr>
            </w:pPr>
            <w:r>
              <w:rPr>
                <w:sz w:val="20"/>
                <w:szCs w:val="20"/>
              </w:rPr>
              <w:t>32,53%</w:t>
            </w:r>
          </w:p>
        </w:tc>
      </w:tr>
      <w:tr>
        <w:trPr/>
        <w:tc>
          <w:tcPr>
            <w:tcW w:w="1617" w:type="dxa"/>
            <w:tcBorders>
              <w:left w:val="single" w:sz="6" w:space="0" w:color="000001"/>
              <w:bottom w:val="single" w:sz="6" w:space="0" w:color="000001"/>
              <w:insideH w:val="single" w:sz="6" w:space="0" w:color="000001"/>
            </w:tcBorders>
            <w:shd w:fill="auto" w:val="clear"/>
            <w:tcMar>
              <w:top w:w="0" w:type="dxa"/>
              <w:left w:w="49" w:type="dxa"/>
            </w:tcMar>
          </w:tcPr>
          <w:p>
            <w:pPr>
              <w:pStyle w:val="Normal"/>
              <w:spacing w:lineRule="auto" w:line="288" w:beforeAutospacing="1" w:after="200"/>
              <w:jc w:val="center"/>
              <w:rPr>
                <w:sz w:val="20"/>
                <w:szCs w:val="20"/>
              </w:rPr>
            </w:pPr>
            <w:r>
              <w:rPr>
                <w:sz w:val="20"/>
                <w:szCs w:val="20"/>
              </w:rPr>
              <w:t>11/2015</w:t>
            </w:r>
          </w:p>
        </w:tc>
        <w:tc>
          <w:tcPr>
            <w:tcW w:w="1786" w:type="dxa"/>
            <w:tcBorders>
              <w:left w:val="single" w:sz="6" w:space="0" w:color="000001"/>
              <w:bottom w:val="single" w:sz="6" w:space="0" w:color="000001"/>
              <w:insideH w:val="single" w:sz="6" w:space="0" w:color="000001"/>
            </w:tcBorders>
            <w:shd w:fill="auto" w:val="clear"/>
            <w:tcMar>
              <w:top w:w="0" w:type="dxa"/>
              <w:left w:w="49" w:type="dxa"/>
            </w:tcMar>
          </w:tcPr>
          <w:p>
            <w:pPr>
              <w:pStyle w:val="Normal"/>
              <w:spacing w:lineRule="auto" w:line="288" w:beforeAutospacing="1" w:after="200"/>
              <w:jc w:val="right"/>
              <w:rPr>
                <w:sz w:val="20"/>
                <w:szCs w:val="20"/>
              </w:rPr>
            </w:pPr>
            <w:r>
              <w:rPr>
                <w:sz w:val="20"/>
                <w:szCs w:val="20"/>
              </w:rPr>
              <w:t>Não se aplica</w:t>
            </w:r>
          </w:p>
        </w:tc>
        <w:tc>
          <w:tcPr>
            <w:tcW w:w="2380" w:type="dxa"/>
            <w:tcBorders>
              <w:left w:val="single" w:sz="6" w:space="0" w:color="000001"/>
              <w:bottom w:val="single" w:sz="6" w:space="0" w:color="000001"/>
              <w:insideH w:val="single" w:sz="6" w:space="0" w:color="000001"/>
            </w:tcBorders>
            <w:shd w:fill="auto" w:val="clear"/>
            <w:tcMar>
              <w:top w:w="0" w:type="dxa"/>
              <w:left w:w="49" w:type="dxa"/>
            </w:tcMar>
          </w:tcPr>
          <w:p>
            <w:pPr>
              <w:pStyle w:val="Normal"/>
              <w:spacing w:lineRule="auto" w:line="288" w:beforeAutospacing="1" w:after="200"/>
              <w:jc w:val="right"/>
              <w:rPr>
                <w:sz w:val="20"/>
                <w:szCs w:val="20"/>
              </w:rPr>
            </w:pPr>
            <w:r>
              <w:rPr>
                <w:sz w:val="20"/>
                <w:szCs w:val="20"/>
              </w:rPr>
              <w:t>Não se aplica</w:t>
            </w:r>
          </w:p>
        </w:tc>
        <w:tc>
          <w:tcPr>
            <w:tcW w:w="2720" w:type="dxa"/>
            <w:tcBorders>
              <w:left w:val="single" w:sz="6" w:space="0" w:color="000001"/>
              <w:bottom w:val="single" w:sz="6" w:space="0" w:color="000001"/>
              <w:right w:val="single" w:sz="6" w:space="0" w:color="000001"/>
              <w:insideH w:val="single" w:sz="6" w:space="0" w:color="000001"/>
              <w:insideV w:val="single" w:sz="6" w:space="0" w:color="000001"/>
            </w:tcBorders>
            <w:shd w:fill="auto" w:val="clear"/>
            <w:tcMar>
              <w:top w:w="0" w:type="dxa"/>
              <w:left w:w="49" w:type="dxa"/>
              <w:right w:w="57" w:type="dxa"/>
            </w:tcMar>
          </w:tcPr>
          <w:p>
            <w:pPr>
              <w:pStyle w:val="Normal"/>
              <w:spacing w:lineRule="auto" w:line="288" w:beforeAutospacing="1" w:after="200"/>
              <w:jc w:val="center"/>
              <w:rPr>
                <w:sz w:val="20"/>
                <w:szCs w:val="20"/>
              </w:rPr>
            </w:pPr>
            <w:r>
              <w:rPr>
                <w:sz w:val="20"/>
                <w:szCs w:val="20"/>
              </w:rPr>
              <w:t>Não se aplica</w:t>
            </w:r>
          </w:p>
        </w:tc>
      </w:tr>
      <w:tr>
        <w:trPr/>
        <w:tc>
          <w:tcPr>
            <w:tcW w:w="1617" w:type="dxa"/>
            <w:tcBorders>
              <w:left w:val="single" w:sz="6" w:space="0" w:color="000001"/>
              <w:bottom w:val="single" w:sz="6" w:space="0" w:color="000001"/>
              <w:insideH w:val="single" w:sz="6" w:space="0" w:color="000001"/>
            </w:tcBorders>
            <w:shd w:fill="auto" w:val="clear"/>
            <w:tcMar>
              <w:top w:w="0" w:type="dxa"/>
              <w:left w:w="49" w:type="dxa"/>
            </w:tcMar>
          </w:tcPr>
          <w:p>
            <w:pPr>
              <w:pStyle w:val="Normal"/>
              <w:spacing w:lineRule="auto" w:line="288" w:beforeAutospacing="1" w:after="200"/>
              <w:jc w:val="center"/>
              <w:rPr>
                <w:sz w:val="20"/>
                <w:szCs w:val="20"/>
              </w:rPr>
            </w:pPr>
            <w:r>
              <w:rPr>
                <w:sz w:val="20"/>
                <w:szCs w:val="20"/>
              </w:rPr>
              <w:t>12/2015</w:t>
            </w:r>
          </w:p>
        </w:tc>
        <w:tc>
          <w:tcPr>
            <w:tcW w:w="1786" w:type="dxa"/>
            <w:tcBorders>
              <w:left w:val="single" w:sz="6" w:space="0" w:color="000001"/>
              <w:bottom w:val="single" w:sz="6" w:space="0" w:color="000001"/>
              <w:insideH w:val="single" w:sz="6" w:space="0" w:color="000001"/>
            </w:tcBorders>
            <w:shd w:fill="auto" w:val="clear"/>
            <w:tcMar>
              <w:top w:w="0" w:type="dxa"/>
              <w:left w:w="49" w:type="dxa"/>
            </w:tcMar>
          </w:tcPr>
          <w:p>
            <w:pPr>
              <w:pStyle w:val="Normal"/>
              <w:spacing w:lineRule="auto" w:line="288" w:beforeAutospacing="1" w:after="200"/>
              <w:jc w:val="right"/>
              <w:rPr>
                <w:sz w:val="20"/>
                <w:szCs w:val="20"/>
              </w:rPr>
            </w:pPr>
            <w:r>
              <w:rPr>
                <w:color w:val="000000"/>
                <w:sz w:val="20"/>
                <w:szCs w:val="20"/>
              </w:rPr>
              <w:t>R$ 348.997.372,02</w:t>
            </w:r>
          </w:p>
        </w:tc>
        <w:tc>
          <w:tcPr>
            <w:tcW w:w="2380" w:type="dxa"/>
            <w:tcBorders>
              <w:left w:val="single" w:sz="6" w:space="0" w:color="000001"/>
              <w:bottom w:val="single" w:sz="6" w:space="0" w:color="000001"/>
              <w:insideH w:val="single" w:sz="6" w:space="0" w:color="000001"/>
            </w:tcBorders>
            <w:shd w:fill="auto" w:val="clear"/>
            <w:tcMar>
              <w:top w:w="0" w:type="dxa"/>
              <w:left w:w="49" w:type="dxa"/>
            </w:tcMar>
          </w:tcPr>
          <w:p>
            <w:pPr>
              <w:pStyle w:val="Normal"/>
              <w:spacing w:lineRule="auto" w:line="288" w:beforeAutospacing="1" w:after="200"/>
              <w:jc w:val="right"/>
              <w:rPr>
                <w:sz w:val="20"/>
                <w:szCs w:val="20"/>
              </w:rPr>
            </w:pPr>
            <w:r>
              <w:rPr>
                <w:color w:val="000000"/>
                <w:sz w:val="20"/>
                <w:szCs w:val="20"/>
              </w:rPr>
              <w:t>R$ 424.093.066</w:t>
            </w:r>
          </w:p>
        </w:tc>
        <w:tc>
          <w:tcPr>
            <w:tcW w:w="2720" w:type="dxa"/>
            <w:tcBorders>
              <w:left w:val="single" w:sz="6" w:space="0" w:color="000001"/>
              <w:bottom w:val="single" w:sz="6" w:space="0" w:color="000001"/>
              <w:right w:val="single" w:sz="6" w:space="0" w:color="000001"/>
              <w:insideH w:val="single" w:sz="6" w:space="0" w:color="000001"/>
              <w:insideV w:val="single" w:sz="6" w:space="0" w:color="000001"/>
            </w:tcBorders>
            <w:shd w:fill="auto" w:val="clear"/>
            <w:tcMar>
              <w:top w:w="0" w:type="dxa"/>
              <w:left w:w="49" w:type="dxa"/>
              <w:right w:w="57" w:type="dxa"/>
            </w:tcMar>
          </w:tcPr>
          <w:p>
            <w:pPr>
              <w:pStyle w:val="Normal"/>
              <w:spacing w:lineRule="auto" w:line="288" w:beforeAutospacing="1" w:after="200"/>
              <w:jc w:val="center"/>
              <w:rPr>
                <w:sz w:val="20"/>
                <w:szCs w:val="20"/>
              </w:rPr>
            </w:pPr>
            <w:r>
              <w:rPr>
                <w:sz w:val="20"/>
                <w:szCs w:val="20"/>
              </w:rPr>
              <w:t>82,29%</w:t>
            </w:r>
          </w:p>
        </w:tc>
      </w:tr>
      <w:tr>
        <w:trPr/>
        <w:tc>
          <w:tcPr>
            <w:tcW w:w="1617" w:type="dxa"/>
            <w:tcBorders>
              <w:left w:val="single" w:sz="6" w:space="0" w:color="000001"/>
              <w:bottom w:val="single" w:sz="6" w:space="0" w:color="000001"/>
              <w:insideH w:val="single" w:sz="6" w:space="0" w:color="000001"/>
            </w:tcBorders>
            <w:shd w:fill="auto" w:val="clear"/>
            <w:tcMar>
              <w:top w:w="0" w:type="dxa"/>
              <w:left w:w="49" w:type="dxa"/>
            </w:tcMar>
          </w:tcPr>
          <w:p>
            <w:pPr>
              <w:pStyle w:val="Normal"/>
              <w:spacing w:lineRule="auto" w:line="288" w:beforeAutospacing="1" w:after="200"/>
              <w:jc w:val="center"/>
              <w:rPr>
                <w:sz w:val="20"/>
                <w:szCs w:val="20"/>
              </w:rPr>
            </w:pPr>
            <w:r>
              <w:rPr>
                <w:sz w:val="20"/>
                <w:szCs w:val="20"/>
              </w:rPr>
              <w:t>13/2015</w:t>
            </w:r>
          </w:p>
        </w:tc>
        <w:tc>
          <w:tcPr>
            <w:tcW w:w="1786" w:type="dxa"/>
            <w:tcBorders>
              <w:left w:val="single" w:sz="6" w:space="0" w:color="000001"/>
              <w:bottom w:val="single" w:sz="6" w:space="0" w:color="000001"/>
              <w:insideH w:val="single" w:sz="6" w:space="0" w:color="000001"/>
            </w:tcBorders>
            <w:shd w:fill="auto" w:val="clear"/>
            <w:tcMar>
              <w:top w:w="0" w:type="dxa"/>
              <w:left w:w="49" w:type="dxa"/>
            </w:tcMar>
          </w:tcPr>
          <w:p>
            <w:pPr>
              <w:pStyle w:val="Normal"/>
              <w:spacing w:lineRule="auto" w:line="288" w:beforeAutospacing="1" w:after="200"/>
              <w:jc w:val="right"/>
              <w:rPr>
                <w:sz w:val="20"/>
                <w:szCs w:val="20"/>
              </w:rPr>
            </w:pPr>
            <w:r>
              <w:rPr>
                <w:sz w:val="20"/>
                <w:szCs w:val="20"/>
              </w:rPr>
              <w:t>R$ 7.000.000,00</w:t>
            </w:r>
          </w:p>
        </w:tc>
        <w:tc>
          <w:tcPr>
            <w:tcW w:w="2380" w:type="dxa"/>
            <w:tcBorders>
              <w:left w:val="single" w:sz="6" w:space="0" w:color="000001"/>
              <w:bottom w:val="single" w:sz="6" w:space="0" w:color="000001"/>
              <w:insideH w:val="single" w:sz="6" w:space="0" w:color="000001"/>
            </w:tcBorders>
            <w:shd w:fill="auto" w:val="clear"/>
            <w:tcMar>
              <w:top w:w="0" w:type="dxa"/>
              <w:left w:w="49" w:type="dxa"/>
            </w:tcMar>
          </w:tcPr>
          <w:p>
            <w:pPr>
              <w:pStyle w:val="Normal"/>
              <w:spacing w:lineRule="auto" w:line="288" w:beforeAutospacing="1" w:after="200"/>
              <w:jc w:val="right"/>
              <w:rPr>
                <w:sz w:val="20"/>
                <w:szCs w:val="20"/>
              </w:rPr>
            </w:pPr>
            <w:r>
              <w:rPr>
                <w:sz w:val="20"/>
                <w:szCs w:val="20"/>
              </w:rPr>
              <w:t>R$ 15.696.498,97</w:t>
            </w:r>
          </w:p>
        </w:tc>
        <w:tc>
          <w:tcPr>
            <w:tcW w:w="2720" w:type="dxa"/>
            <w:tcBorders>
              <w:left w:val="single" w:sz="6" w:space="0" w:color="000001"/>
              <w:bottom w:val="single" w:sz="6" w:space="0" w:color="000001"/>
              <w:right w:val="single" w:sz="6" w:space="0" w:color="000001"/>
              <w:insideH w:val="single" w:sz="6" w:space="0" w:color="000001"/>
              <w:insideV w:val="single" w:sz="6" w:space="0" w:color="000001"/>
            </w:tcBorders>
            <w:shd w:fill="auto" w:val="clear"/>
            <w:tcMar>
              <w:top w:w="0" w:type="dxa"/>
              <w:left w:w="49" w:type="dxa"/>
              <w:right w:w="57" w:type="dxa"/>
            </w:tcMar>
          </w:tcPr>
          <w:p>
            <w:pPr>
              <w:pStyle w:val="Normal"/>
              <w:spacing w:lineRule="auto" w:line="288" w:beforeAutospacing="1" w:after="200"/>
              <w:jc w:val="center"/>
              <w:rPr>
                <w:sz w:val="20"/>
                <w:szCs w:val="20"/>
              </w:rPr>
            </w:pPr>
            <w:r>
              <w:rPr>
                <w:sz w:val="20"/>
                <w:szCs w:val="20"/>
              </w:rPr>
              <w:t>44,60%</w:t>
            </w:r>
          </w:p>
        </w:tc>
      </w:tr>
      <w:tr>
        <w:trPr/>
        <w:tc>
          <w:tcPr>
            <w:tcW w:w="1617" w:type="dxa"/>
            <w:tcBorders>
              <w:left w:val="single" w:sz="6" w:space="0" w:color="000001"/>
              <w:bottom w:val="single" w:sz="6" w:space="0" w:color="000001"/>
              <w:insideH w:val="single" w:sz="6" w:space="0" w:color="000001"/>
            </w:tcBorders>
            <w:shd w:fill="auto" w:val="clear"/>
            <w:tcMar>
              <w:top w:w="0" w:type="dxa"/>
              <w:left w:w="49" w:type="dxa"/>
            </w:tcMar>
          </w:tcPr>
          <w:p>
            <w:pPr>
              <w:pStyle w:val="Normal"/>
              <w:spacing w:lineRule="auto" w:line="288" w:beforeAutospacing="1" w:after="200"/>
              <w:jc w:val="center"/>
              <w:rPr>
                <w:sz w:val="20"/>
                <w:szCs w:val="20"/>
              </w:rPr>
            </w:pPr>
            <w:r>
              <w:rPr>
                <w:sz w:val="20"/>
                <w:szCs w:val="20"/>
              </w:rPr>
              <w:t>14/2015</w:t>
            </w:r>
          </w:p>
        </w:tc>
        <w:tc>
          <w:tcPr>
            <w:tcW w:w="1786" w:type="dxa"/>
            <w:tcBorders>
              <w:left w:val="single" w:sz="6" w:space="0" w:color="000001"/>
              <w:bottom w:val="single" w:sz="6" w:space="0" w:color="000001"/>
              <w:insideH w:val="single" w:sz="6" w:space="0" w:color="000001"/>
            </w:tcBorders>
            <w:shd w:fill="auto" w:val="clear"/>
            <w:tcMar>
              <w:top w:w="0" w:type="dxa"/>
              <w:left w:w="49" w:type="dxa"/>
            </w:tcMar>
          </w:tcPr>
          <w:p>
            <w:pPr>
              <w:pStyle w:val="Normal"/>
              <w:spacing w:lineRule="auto" w:line="288" w:beforeAutospacing="1" w:after="200"/>
              <w:jc w:val="right"/>
              <w:rPr>
                <w:sz w:val="20"/>
                <w:szCs w:val="20"/>
              </w:rPr>
            </w:pPr>
            <w:r>
              <w:rPr>
                <w:sz w:val="20"/>
                <w:szCs w:val="20"/>
              </w:rPr>
              <w:t>R$ 15.303.158,44</w:t>
            </w:r>
          </w:p>
        </w:tc>
        <w:tc>
          <w:tcPr>
            <w:tcW w:w="2380" w:type="dxa"/>
            <w:tcBorders>
              <w:left w:val="single" w:sz="6" w:space="0" w:color="000001"/>
              <w:bottom w:val="single" w:sz="6" w:space="0" w:color="000001"/>
              <w:insideH w:val="single" w:sz="6" w:space="0" w:color="000001"/>
            </w:tcBorders>
            <w:shd w:fill="auto" w:val="clear"/>
            <w:tcMar>
              <w:top w:w="0" w:type="dxa"/>
              <w:left w:w="49" w:type="dxa"/>
            </w:tcMar>
          </w:tcPr>
          <w:p>
            <w:pPr>
              <w:pStyle w:val="Normal"/>
              <w:spacing w:lineRule="auto" w:line="288" w:beforeAutospacing="1" w:after="200"/>
              <w:jc w:val="right"/>
              <w:rPr>
                <w:sz w:val="20"/>
                <w:szCs w:val="20"/>
              </w:rPr>
            </w:pPr>
            <w:r>
              <w:rPr>
                <w:sz w:val="20"/>
                <w:szCs w:val="20"/>
              </w:rPr>
              <w:t>R$ 63.664.510,47</w:t>
            </w:r>
          </w:p>
        </w:tc>
        <w:tc>
          <w:tcPr>
            <w:tcW w:w="2720" w:type="dxa"/>
            <w:tcBorders>
              <w:left w:val="single" w:sz="6" w:space="0" w:color="000001"/>
              <w:bottom w:val="single" w:sz="6" w:space="0" w:color="000001"/>
              <w:right w:val="single" w:sz="6" w:space="0" w:color="000001"/>
              <w:insideH w:val="single" w:sz="6" w:space="0" w:color="000001"/>
              <w:insideV w:val="single" w:sz="6" w:space="0" w:color="000001"/>
            </w:tcBorders>
            <w:shd w:fill="auto" w:val="clear"/>
            <w:tcMar>
              <w:top w:w="0" w:type="dxa"/>
              <w:left w:w="49" w:type="dxa"/>
              <w:right w:w="57" w:type="dxa"/>
            </w:tcMar>
          </w:tcPr>
          <w:p>
            <w:pPr>
              <w:pStyle w:val="Normal"/>
              <w:spacing w:lineRule="auto" w:line="288" w:beforeAutospacing="1" w:after="200"/>
              <w:jc w:val="center"/>
              <w:rPr>
                <w:sz w:val="20"/>
                <w:szCs w:val="20"/>
              </w:rPr>
            </w:pPr>
            <w:r>
              <w:rPr>
                <w:sz w:val="20"/>
                <w:szCs w:val="20"/>
              </w:rPr>
              <w:t>24,04%</w:t>
            </w:r>
          </w:p>
        </w:tc>
      </w:tr>
      <w:tr>
        <w:trPr/>
        <w:tc>
          <w:tcPr>
            <w:tcW w:w="1617" w:type="dxa"/>
            <w:tcBorders>
              <w:left w:val="single" w:sz="6" w:space="0" w:color="000001"/>
              <w:bottom w:val="single" w:sz="6" w:space="0" w:color="000001"/>
              <w:insideH w:val="single" w:sz="6" w:space="0" w:color="000001"/>
            </w:tcBorders>
            <w:shd w:fill="auto" w:val="clear"/>
            <w:tcMar>
              <w:top w:w="0" w:type="dxa"/>
              <w:left w:w="49" w:type="dxa"/>
            </w:tcMar>
          </w:tcPr>
          <w:p>
            <w:pPr>
              <w:pStyle w:val="Normal"/>
              <w:spacing w:lineRule="auto" w:line="288" w:beforeAutospacing="1" w:after="200"/>
              <w:jc w:val="center"/>
              <w:rPr>
                <w:b/>
                <w:b/>
                <w:sz w:val="20"/>
                <w:szCs w:val="20"/>
              </w:rPr>
            </w:pPr>
            <w:r>
              <w:rPr>
                <w:b/>
                <w:sz w:val="20"/>
                <w:szCs w:val="20"/>
              </w:rPr>
              <w:t>TOTAL</w:t>
            </w:r>
          </w:p>
        </w:tc>
        <w:tc>
          <w:tcPr>
            <w:tcW w:w="1786" w:type="dxa"/>
            <w:tcBorders>
              <w:left w:val="single" w:sz="6" w:space="0" w:color="000001"/>
              <w:bottom w:val="single" w:sz="6" w:space="0" w:color="000001"/>
              <w:insideH w:val="single" w:sz="6" w:space="0" w:color="000001"/>
            </w:tcBorders>
            <w:shd w:fill="auto" w:val="clear"/>
            <w:tcMar>
              <w:top w:w="0" w:type="dxa"/>
              <w:left w:w="49" w:type="dxa"/>
            </w:tcMar>
          </w:tcPr>
          <w:p>
            <w:pPr>
              <w:pStyle w:val="Normal"/>
              <w:spacing w:lineRule="auto" w:line="288" w:beforeAutospacing="1" w:after="200"/>
              <w:jc w:val="right"/>
              <w:rPr>
                <w:b/>
                <w:b/>
                <w:sz w:val="20"/>
                <w:szCs w:val="20"/>
              </w:rPr>
            </w:pPr>
            <w:r>
              <w:rPr>
                <w:b/>
                <w:sz w:val="20"/>
                <w:szCs w:val="20"/>
              </w:rPr>
              <w:t>R$ 374.580.580,56</w:t>
            </w:r>
          </w:p>
        </w:tc>
        <w:tc>
          <w:tcPr>
            <w:tcW w:w="2380" w:type="dxa"/>
            <w:tcBorders>
              <w:left w:val="single" w:sz="6" w:space="0" w:color="000001"/>
              <w:bottom w:val="single" w:sz="6" w:space="0" w:color="000001"/>
              <w:insideH w:val="single" w:sz="6" w:space="0" w:color="000001"/>
            </w:tcBorders>
            <w:shd w:fill="auto" w:val="clear"/>
            <w:tcMar>
              <w:top w:w="0" w:type="dxa"/>
              <w:left w:w="49" w:type="dxa"/>
            </w:tcMar>
          </w:tcPr>
          <w:p>
            <w:pPr>
              <w:pStyle w:val="Normal"/>
              <w:spacing w:lineRule="auto" w:line="288" w:beforeAutospacing="1" w:after="200"/>
              <w:jc w:val="right"/>
              <w:rPr>
                <w:b/>
                <w:b/>
                <w:sz w:val="20"/>
                <w:szCs w:val="20"/>
              </w:rPr>
            </w:pPr>
            <w:r>
              <w:rPr>
                <w:b/>
                <w:sz w:val="20"/>
                <w:szCs w:val="20"/>
              </w:rPr>
              <w:t>R$ 513.536.223,04</w:t>
            </w:r>
          </w:p>
        </w:tc>
        <w:tc>
          <w:tcPr>
            <w:tcW w:w="2720" w:type="dxa"/>
            <w:tcBorders>
              <w:left w:val="single" w:sz="6" w:space="0" w:color="000001"/>
              <w:bottom w:val="single" w:sz="6" w:space="0" w:color="000001"/>
              <w:right w:val="single" w:sz="6" w:space="0" w:color="000001"/>
              <w:insideH w:val="single" w:sz="6" w:space="0" w:color="000001"/>
              <w:insideV w:val="single" w:sz="6" w:space="0" w:color="000001"/>
            </w:tcBorders>
            <w:shd w:fill="auto" w:val="clear"/>
            <w:tcMar>
              <w:top w:w="0" w:type="dxa"/>
              <w:left w:w="49" w:type="dxa"/>
              <w:right w:w="57" w:type="dxa"/>
            </w:tcMar>
          </w:tcPr>
          <w:p>
            <w:pPr>
              <w:pStyle w:val="Normal"/>
              <w:spacing w:lineRule="auto" w:line="288" w:beforeAutospacing="1" w:after="200"/>
              <w:jc w:val="center"/>
              <w:rPr>
                <w:b/>
                <w:b/>
                <w:sz w:val="20"/>
                <w:szCs w:val="20"/>
              </w:rPr>
            </w:pPr>
            <w:r>
              <w:rPr>
                <w:b/>
                <w:sz w:val="20"/>
                <w:szCs w:val="20"/>
              </w:rPr>
              <w:t>72,94%</w:t>
            </w:r>
          </w:p>
        </w:tc>
      </w:tr>
    </w:tbl>
    <w:p>
      <w:pPr>
        <w:pStyle w:val="Western"/>
        <w:spacing w:lineRule="auto" w:line="240" w:before="280" w:after="0"/>
        <w:rPr>
          <w:sz w:val="20"/>
          <w:szCs w:val="20"/>
        </w:rPr>
      </w:pPr>
      <w:r>
        <w:rPr>
          <w:b/>
          <w:bCs/>
          <w:color w:val="000000"/>
          <w:sz w:val="20"/>
          <w:szCs w:val="20"/>
        </w:rPr>
        <w:t xml:space="preserve">Volume de recursos geridos pela UJ(*) </w:t>
      </w:r>
      <w:r>
        <w:rPr>
          <w:sz w:val="20"/>
          <w:szCs w:val="20"/>
        </w:rPr>
        <w:t>Fonte: Tesouro Gerencial e SIAFI Operacional</w:t>
      </w:r>
    </w:p>
    <w:tbl>
      <w:tblPr>
        <w:tblW w:w="4400" w:type="dxa"/>
        <w:jc w:val="left"/>
        <w:tblInd w:w="55" w:type="dxa"/>
        <w:tblBorders/>
        <w:tblCellMar>
          <w:top w:w="0" w:type="dxa"/>
          <w:left w:w="70" w:type="dxa"/>
          <w:bottom w:w="0" w:type="dxa"/>
          <w:right w:w="70" w:type="dxa"/>
        </w:tblCellMar>
        <w:tblLook w:noVBand="1" w:val="04a0" w:noHBand="0" w:lastColumn="0" w:firstColumn="1" w:lastRow="0" w:firstRow="1"/>
      </w:tblPr>
      <w:tblGrid>
        <w:gridCol w:w="1719"/>
        <w:gridCol w:w="1720"/>
        <w:gridCol w:w="961"/>
      </w:tblGrid>
      <w:tr>
        <w:trPr>
          <w:trHeight w:val="300" w:hRule="atLeast"/>
        </w:trPr>
        <w:tc>
          <w:tcPr>
            <w:tcW w:w="1719" w:type="dxa"/>
            <w:tcBorders/>
            <w:shd w:color="auto" w:fill="auto" w:val="clear"/>
            <w:vAlign w:val="bottom"/>
          </w:tcPr>
          <w:p>
            <w:pPr>
              <w:pStyle w:val="Normal"/>
              <w:jc w:val="right"/>
              <w:rPr>
                <w:rFonts w:eastAsia="Times New Roman"/>
                <w:color w:val="000000"/>
                <w:lang w:eastAsia="pt-BR"/>
              </w:rPr>
            </w:pPr>
            <w:r>
              <w:rPr>
                <w:rFonts w:eastAsia="Times New Roman"/>
                <w:color w:val="000000"/>
                <w:lang w:eastAsia="pt-BR"/>
              </w:rPr>
            </w:r>
          </w:p>
        </w:tc>
        <w:tc>
          <w:tcPr>
            <w:tcW w:w="1720" w:type="dxa"/>
            <w:tcBorders/>
            <w:shd w:color="auto" w:fill="auto" w:val="clear"/>
            <w:vAlign w:val="bottom"/>
          </w:tcPr>
          <w:p>
            <w:pPr>
              <w:pStyle w:val="Normal"/>
              <w:jc w:val="right"/>
              <w:rPr>
                <w:rFonts w:eastAsia="Times New Roman"/>
                <w:color w:val="000000"/>
                <w:lang w:eastAsia="pt-BR"/>
              </w:rPr>
            </w:pPr>
            <w:r>
              <w:rPr>
                <w:rFonts w:eastAsia="Times New Roman"/>
                <w:color w:val="000000"/>
                <w:lang w:eastAsia="pt-BR"/>
              </w:rPr>
            </w:r>
          </w:p>
        </w:tc>
        <w:tc>
          <w:tcPr>
            <w:tcW w:w="961" w:type="dxa"/>
            <w:tcBorders/>
            <w:shd w:color="auto" w:fill="auto" w:val="clear"/>
            <w:vAlign w:val="bottom"/>
          </w:tcPr>
          <w:p>
            <w:pPr>
              <w:pStyle w:val="Normal"/>
              <w:jc w:val="right"/>
              <w:rPr>
                <w:rFonts w:eastAsia="Times New Roman"/>
                <w:color w:val="000000"/>
                <w:lang w:eastAsia="pt-BR"/>
              </w:rPr>
            </w:pPr>
            <w:r>
              <w:rPr>
                <w:rFonts w:eastAsia="Times New Roman"/>
                <w:color w:val="000000"/>
                <w:lang w:eastAsia="pt-BR"/>
              </w:rPr>
            </w:r>
          </w:p>
        </w:tc>
      </w:tr>
    </w:tbl>
    <w:p>
      <w:pPr>
        <w:pStyle w:val="Normal"/>
        <w:jc w:val="both"/>
        <w:rPr/>
      </w:pPr>
      <w:r>
        <w:rPr/>
        <w:t xml:space="preserve">No momento da realização da avaliação da execução do PAINT/2015 pela AUDIN/UFRPE apenas havia sido realizada a ação de auditoria 11/2015: Acompanhamento e avaliação da metodologia de planejamento, realização e execução das metas físicas e financeiras dos programas e ações da UFRPE referente ao exercício de 2014, não havendo, portanto, recursos já auditados. </w:t>
      </w:r>
    </w:p>
    <w:p>
      <w:pPr>
        <w:pStyle w:val="Normal"/>
        <w:spacing w:lineRule="auto" w:line="240" w:beforeAutospacing="1" w:afterAutospacing="1"/>
        <w:contextualSpacing/>
        <w:jc w:val="both"/>
        <w:rPr/>
      </w:pPr>
      <w:r>
        <w:rPr/>
        <w:t xml:space="preserve"> </w:t>
      </w:r>
    </w:p>
    <w:p>
      <w:pPr>
        <w:pStyle w:val="Normal"/>
        <w:spacing w:lineRule="auto" w:line="240" w:beforeAutospacing="1" w:afterAutospacing="1"/>
        <w:contextualSpacing/>
        <w:jc w:val="both"/>
        <w:rPr>
          <w:color w:val="FFFFFF" w:themeColor="background1"/>
          <w:spacing w:val="0"/>
          <w:sz w:val="2"/>
          <w:szCs w:val="2"/>
        </w:rPr>
      </w:pPr>
      <w:r>
        <w:rPr>
          <w:color w:val="FFFFFF" w:themeColor="background1"/>
          <w:spacing w:val="0"/>
          <w:sz w:val="2"/>
          <w:szCs w:val="2"/>
        </w:rPr>
        <w:t>##/Fato##</w:t>
      </w:r>
    </w:p>
    <w:p>
      <w:pPr>
        <w:pStyle w:val="Normal"/>
        <w:spacing w:lineRule="auto" w:line="240" w:before="0" w:after="0"/>
        <w:rPr>
          <w:rFonts w:ascii="Arial" w:hAnsi="Arial" w:cs="Arial"/>
          <w:b/>
          <w:b/>
        </w:rPr>
      </w:pPr>
      <w:r>
        <w:rPr>
          <w:b/>
        </w:rPr>
        <w:t>1.1.1.3</w:t>
      </w:r>
      <w:r>
        <w:rPr>
          <w:rFonts w:cs="Arial" w:ascii="Arial" w:hAnsi="Arial"/>
          <w:b/>
        </w:rPr>
        <w:t xml:space="preserve"> </w:t>
      </w:r>
      <w:r>
        <w:rPr>
          <w:b/>
        </w:rPr>
        <w:t>CONSTATAÇÃO</w:t>
      </w:r>
    </w:p>
    <w:p>
      <w:pPr>
        <w:pStyle w:val="Normal"/>
        <w:spacing w:lineRule="auto" w:line="240" w:before="0" w:after="0"/>
        <w:rPr>
          <w:b/>
          <w:b/>
        </w:rPr>
      </w:pPr>
      <w:r>
        <w:rPr>
          <w:b/>
        </w:rPr>
      </w:r>
    </w:p>
    <w:p>
      <w:pPr>
        <w:pStyle w:val="Normal"/>
        <w:spacing w:lineRule="auto" w:line="240" w:before="0" w:after="0"/>
        <w:jc w:val="both"/>
        <w:rPr>
          <w:b/>
          <w:b/>
        </w:rPr>
      </w:pPr>
      <w:r>
        <w:rPr>
          <w:b/>
        </w:rPr>
        <w:t>Descumprimento do Plano Anual de Atividades da Auditoria Interna da UFRPE - 2015, sobretudo no que se refere à realização das ações de controle previstas.</w:t>
      </w:r>
    </w:p>
    <w:p>
      <w:pPr>
        <w:pStyle w:val="Normal"/>
        <w:spacing w:lineRule="auto" w:line="240" w:before="0" w:after="0"/>
        <w:rPr/>
      </w:pPr>
      <w:r>
        <w:rPr/>
      </w:r>
    </w:p>
    <w:p>
      <w:pPr>
        <w:pStyle w:val="Normal"/>
        <w:spacing w:lineRule="auto" w:line="240" w:before="0" w:after="0"/>
        <w:rPr>
          <w:rFonts w:ascii="Arial" w:hAnsi="Arial" w:cs="Arial"/>
          <w:b/>
          <w:b/>
        </w:rPr>
      </w:pPr>
      <w:r>
        <w:rPr>
          <w:b/>
        </w:rPr>
        <w:t>Fato</w:t>
      </w:r>
    </w:p>
    <w:p>
      <w:pPr>
        <w:pStyle w:val="Normal"/>
        <w:spacing w:lineRule="auto" w:line="240" w:before="0" w:after="0"/>
        <w:rPr>
          <w:b/>
          <w:b/>
        </w:rPr>
      </w:pPr>
      <w:r>
        <w:rPr>
          <w:b/>
        </w:rPr>
      </w:r>
    </w:p>
    <w:p>
      <w:pPr>
        <w:pStyle w:val="Standard"/>
        <w:jc w:val="both"/>
        <w:rPr/>
      </w:pPr>
      <w:r>
        <w:rPr/>
        <w:t>Por meio da comparação das atividades previstas no Plano Anual de Auditoria Interna – PAINT  do exercício de 2015 e as atividades efetivamente executadas pela Unidade de Auditoria Interna - AUDIN da Universidade Federal Rural de Pernambuco – UFRPE, informadas por meio do Ofício nº 13/2015 – AUDIN, de 16 de outubro de 2015, verificou-se o atraso e o descumprimento do PAINT/2015, conforme detalhado a seguir:</w:t>
      </w:r>
    </w:p>
    <w:p>
      <w:pPr>
        <w:pStyle w:val="Standard"/>
        <w:jc w:val="both"/>
        <w:rPr/>
      </w:pPr>
      <w:r>
        <w:rPr/>
      </w:r>
    </w:p>
    <w:p>
      <w:pPr>
        <w:pStyle w:val="Standard"/>
        <w:jc w:val="both"/>
        <w:rPr/>
      </w:pPr>
      <w:r>
        <w:rPr/>
        <w:t>Das 17 atividades previstas no PAINT/2015 foram realizadas ou são de realização contínua no exercício as seguintes atividades:</w:t>
      </w:r>
    </w:p>
    <w:p>
      <w:pPr>
        <w:pStyle w:val="Standard"/>
        <w:jc w:val="both"/>
        <w:rPr/>
      </w:pPr>
      <w:r>
        <w:rPr/>
      </w:r>
    </w:p>
    <w:tbl>
      <w:tblPr>
        <w:tblW w:w="8494" w:type="dxa"/>
        <w:jc w:val="left"/>
        <w:tblInd w:w="111" w:type="dxa"/>
        <w:tblBorders>
          <w:top w:val="single" w:sz="2" w:space="0" w:color="000001"/>
          <w:left w:val="single" w:sz="2" w:space="0" w:color="000001"/>
          <w:bottom w:val="single" w:sz="2" w:space="0" w:color="000001"/>
          <w:insideH w:val="single" w:sz="2" w:space="0" w:color="000001"/>
        </w:tblBorders>
        <w:tblCellMar>
          <w:top w:w="55" w:type="dxa"/>
          <w:left w:w="52" w:type="dxa"/>
          <w:bottom w:w="55" w:type="dxa"/>
          <w:right w:w="55" w:type="dxa"/>
        </w:tblCellMar>
        <w:tblLook w:noVBand="0" w:val="0000" w:noHBand="0" w:lastColumn="0" w:firstColumn="0" w:lastRow="0" w:firstRow="0"/>
      </w:tblPr>
      <w:tblGrid>
        <w:gridCol w:w="1974"/>
        <w:gridCol w:w="1416"/>
        <w:gridCol w:w="5104"/>
      </w:tblGrid>
      <w:tr>
        <w:trPr/>
        <w:tc>
          <w:tcPr>
            <w:tcW w:w="1974" w:type="dxa"/>
            <w:tcBorders>
              <w:top w:val="single" w:sz="2" w:space="0" w:color="000001"/>
              <w:left w:val="single" w:sz="2" w:space="0" w:color="000001"/>
              <w:bottom w:val="single" w:sz="2" w:space="0" w:color="000001"/>
              <w:insideH w:val="single" w:sz="2" w:space="0" w:color="000001"/>
            </w:tcBorders>
            <w:shd w:fill="auto" w:val="clear"/>
            <w:tcMar>
              <w:left w:w="52" w:type="dxa"/>
            </w:tcMar>
          </w:tcPr>
          <w:p>
            <w:pPr>
              <w:pStyle w:val="Contedodatabela"/>
              <w:jc w:val="center"/>
              <w:rPr>
                <w:b/>
                <w:b/>
                <w:bCs/>
                <w:sz w:val="20"/>
                <w:szCs w:val="20"/>
              </w:rPr>
            </w:pPr>
            <w:r>
              <w:rPr>
                <w:b/>
                <w:bCs/>
                <w:sz w:val="20"/>
                <w:szCs w:val="20"/>
              </w:rPr>
              <w:t>Atividade</w:t>
            </w:r>
          </w:p>
        </w:tc>
        <w:tc>
          <w:tcPr>
            <w:tcW w:w="1416" w:type="dxa"/>
            <w:tcBorders>
              <w:top w:val="single" w:sz="2" w:space="0" w:color="000001"/>
              <w:left w:val="single" w:sz="2" w:space="0" w:color="000001"/>
              <w:bottom w:val="single" w:sz="2" w:space="0" w:color="000001"/>
              <w:insideH w:val="single" w:sz="2" w:space="0" w:color="000001"/>
            </w:tcBorders>
            <w:shd w:fill="auto" w:val="clear"/>
            <w:tcMar>
              <w:left w:w="52" w:type="dxa"/>
            </w:tcMar>
          </w:tcPr>
          <w:p>
            <w:pPr>
              <w:pStyle w:val="Contedodatabela"/>
              <w:jc w:val="center"/>
              <w:rPr>
                <w:b/>
                <w:b/>
                <w:bCs/>
                <w:sz w:val="20"/>
                <w:szCs w:val="20"/>
              </w:rPr>
            </w:pPr>
            <w:r>
              <w:rPr>
                <w:b/>
                <w:bCs/>
                <w:sz w:val="20"/>
                <w:szCs w:val="20"/>
              </w:rPr>
              <w:t>Prazo de Execução</w:t>
            </w:r>
          </w:p>
        </w:tc>
        <w:tc>
          <w:tcPr>
            <w:tcW w:w="510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dodatabela"/>
              <w:jc w:val="both"/>
              <w:rPr>
                <w:b/>
                <w:b/>
                <w:bCs/>
                <w:sz w:val="20"/>
                <w:szCs w:val="20"/>
              </w:rPr>
            </w:pPr>
            <w:r>
              <w:rPr>
                <w:b/>
                <w:bCs/>
                <w:sz w:val="20"/>
                <w:szCs w:val="20"/>
              </w:rPr>
              <w:t xml:space="preserve">Situação de realização (Justificativas apresentadas pelo Auditoria Titular da AUDIN, por meio do </w:t>
            </w:r>
            <w:r>
              <w:rPr>
                <w:b/>
                <w:sz w:val="20"/>
                <w:szCs w:val="20"/>
              </w:rPr>
              <w:t>Ofício nº 13/2015 – AUDIN, de 16 de outubro de 2015)</w:t>
            </w:r>
          </w:p>
        </w:tc>
      </w:tr>
      <w:tr>
        <w:trPr/>
        <w:tc>
          <w:tcPr>
            <w:tcW w:w="1974" w:type="dxa"/>
            <w:tcBorders>
              <w:left w:val="single" w:sz="2" w:space="0" w:color="000001"/>
              <w:bottom w:val="single" w:sz="2" w:space="0" w:color="000001"/>
              <w:insideH w:val="single" w:sz="2" w:space="0" w:color="000001"/>
            </w:tcBorders>
            <w:shd w:fill="auto" w:val="clear"/>
            <w:tcMar>
              <w:left w:w="52" w:type="dxa"/>
            </w:tcMar>
          </w:tcPr>
          <w:p>
            <w:pPr>
              <w:pStyle w:val="Contedodatabela"/>
              <w:jc w:val="both"/>
              <w:rPr>
                <w:sz w:val="20"/>
                <w:szCs w:val="20"/>
              </w:rPr>
            </w:pPr>
            <w:r>
              <w:rPr>
                <w:sz w:val="20"/>
                <w:szCs w:val="20"/>
              </w:rPr>
              <w:t>01/2015: Elaboração do Relatório Anual de Atividade de Auditoria Interna – RAINT/2014.</w:t>
            </w:r>
          </w:p>
        </w:tc>
        <w:tc>
          <w:tcPr>
            <w:tcW w:w="1416" w:type="dxa"/>
            <w:tcBorders>
              <w:left w:val="single" w:sz="2" w:space="0" w:color="000001"/>
              <w:bottom w:val="single" w:sz="2" w:space="0" w:color="000001"/>
              <w:insideH w:val="single" w:sz="2" w:space="0" w:color="000001"/>
            </w:tcBorders>
            <w:shd w:fill="auto" w:val="clear"/>
            <w:tcMar>
              <w:left w:w="52" w:type="dxa"/>
            </w:tcMar>
          </w:tcPr>
          <w:p>
            <w:pPr>
              <w:pStyle w:val="Contedodatabela"/>
              <w:jc w:val="both"/>
              <w:rPr>
                <w:sz w:val="20"/>
                <w:szCs w:val="20"/>
              </w:rPr>
            </w:pPr>
            <w:r>
              <w:rPr>
                <w:sz w:val="20"/>
                <w:szCs w:val="20"/>
              </w:rPr>
              <w:t>02/01 a 31/01/15</w:t>
            </w:r>
          </w:p>
        </w:tc>
        <w:tc>
          <w:tcPr>
            <w:tcW w:w="5104"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dodatabela"/>
              <w:jc w:val="both"/>
              <w:rPr>
                <w:sz w:val="20"/>
                <w:szCs w:val="20"/>
              </w:rPr>
            </w:pPr>
            <w:r>
              <w:rPr>
                <w:sz w:val="20"/>
                <w:szCs w:val="20"/>
              </w:rPr>
              <w:t>Atividade realizada. Disponibilizado à CGU, por meio do Ofício n. 03/2015 – AUDIN/UFRPE.</w:t>
            </w:r>
          </w:p>
        </w:tc>
      </w:tr>
      <w:tr>
        <w:trPr/>
        <w:tc>
          <w:tcPr>
            <w:tcW w:w="1974" w:type="dxa"/>
            <w:tcBorders>
              <w:left w:val="single" w:sz="2" w:space="0" w:color="000001"/>
              <w:bottom w:val="single" w:sz="2" w:space="0" w:color="000001"/>
              <w:insideH w:val="single" w:sz="2" w:space="0" w:color="000001"/>
            </w:tcBorders>
            <w:shd w:fill="auto" w:val="clear"/>
            <w:tcMar>
              <w:left w:w="52" w:type="dxa"/>
            </w:tcMar>
          </w:tcPr>
          <w:p>
            <w:pPr>
              <w:pStyle w:val="Contedodatabela"/>
              <w:jc w:val="both"/>
              <w:rPr>
                <w:sz w:val="20"/>
                <w:szCs w:val="20"/>
              </w:rPr>
            </w:pPr>
            <w:r>
              <w:rPr>
                <w:sz w:val="20"/>
                <w:szCs w:val="20"/>
              </w:rPr>
              <w:t>03/2015: Coleta de dados, monitoramento e organização de informações para compor o Relatório de Gestão do exercício de 2014.</w:t>
            </w:r>
          </w:p>
        </w:tc>
        <w:tc>
          <w:tcPr>
            <w:tcW w:w="1416" w:type="dxa"/>
            <w:tcBorders>
              <w:left w:val="single" w:sz="2" w:space="0" w:color="000001"/>
              <w:bottom w:val="single" w:sz="2" w:space="0" w:color="000001"/>
              <w:insideH w:val="single" w:sz="2" w:space="0" w:color="000001"/>
            </w:tcBorders>
            <w:shd w:fill="auto" w:val="clear"/>
            <w:tcMar>
              <w:left w:w="52" w:type="dxa"/>
            </w:tcMar>
          </w:tcPr>
          <w:p>
            <w:pPr>
              <w:pStyle w:val="Contedodatabela"/>
              <w:jc w:val="both"/>
              <w:rPr>
                <w:sz w:val="20"/>
                <w:szCs w:val="20"/>
              </w:rPr>
            </w:pPr>
            <w:r>
              <w:rPr>
                <w:sz w:val="20"/>
                <w:szCs w:val="20"/>
              </w:rPr>
              <w:t>02/01 a 31/03/15</w:t>
            </w:r>
          </w:p>
        </w:tc>
        <w:tc>
          <w:tcPr>
            <w:tcW w:w="5104"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dodatabela"/>
              <w:jc w:val="both"/>
              <w:rPr>
                <w:sz w:val="20"/>
                <w:szCs w:val="20"/>
              </w:rPr>
            </w:pPr>
            <w:r>
              <w:rPr>
                <w:sz w:val="20"/>
                <w:szCs w:val="20"/>
              </w:rPr>
              <w:t>Atividade realizada. Relatório de Gestão disponível no sítio eletrônico da UFRPE, contendo informações sobre as atividades de auditoria da AUDIN, CGU e TCU.</w:t>
            </w:r>
          </w:p>
        </w:tc>
      </w:tr>
      <w:tr>
        <w:trPr/>
        <w:tc>
          <w:tcPr>
            <w:tcW w:w="1974" w:type="dxa"/>
            <w:tcBorders>
              <w:left w:val="single" w:sz="2" w:space="0" w:color="000001"/>
              <w:bottom w:val="single" w:sz="2" w:space="0" w:color="000001"/>
              <w:insideH w:val="single" w:sz="2" w:space="0" w:color="000001"/>
            </w:tcBorders>
            <w:shd w:fill="auto" w:val="clear"/>
            <w:tcMar>
              <w:left w:w="52" w:type="dxa"/>
            </w:tcMar>
          </w:tcPr>
          <w:p>
            <w:pPr>
              <w:pStyle w:val="Contedodatabela"/>
              <w:jc w:val="both"/>
              <w:rPr>
                <w:sz w:val="20"/>
                <w:szCs w:val="20"/>
              </w:rPr>
            </w:pPr>
            <w:r>
              <w:rPr>
                <w:sz w:val="20"/>
                <w:szCs w:val="20"/>
              </w:rPr>
              <w:t>05/2015: Acompanhamento de processos e acórdãos do Tribunal de Contas da União- TCU.</w:t>
            </w:r>
          </w:p>
        </w:tc>
        <w:tc>
          <w:tcPr>
            <w:tcW w:w="1416" w:type="dxa"/>
            <w:tcBorders>
              <w:left w:val="single" w:sz="2" w:space="0" w:color="000001"/>
              <w:bottom w:val="single" w:sz="2" w:space="0" w:color="000001"/>
              <w:insideH w:val="single" w:sz="2" w:space="0" w:color="000001"/>
            </w:tcBorders>
            <w:shd w:fill="auto" w:val="clear"/>
            <w:tcMar>
              <w:left w:w="52" w:type="dxa"/>
            </w:tcMar>
          </w:tcPr>
          <w:p>
            <w:pPr>
              <w:pStyle w:val="Contedodatabela"/>
              <w:jc w:val="both"/>
              <w:rPr>
                <w:sz w:val="20"/>
                <w:szCs w:val="20"/>
              </w:rPr>
            </w:pPr>
            <w:r>
              <w:rPr>
                <w:sz w:val="20"/>
                <w:szCs w:val="20"/>
              </w:rPr>
              <w:t>Todo o exercício de 2015</w:t>
            </w:r>
          </w:p>
        </w:tc>
        <w:tc>
          <w:tcPr>
            <w:tcW w:w="5104"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dodatabela"/>
              <w:jc w:val="both"/>
              <w:rPr>
                <w:sz w:val="20"/>
                <w:szCs w:val="20"/>
              </w:rPr>
            </w:pPr>
            <w:r>
              <w:rPr>
                <w:sz w:val="20"/>
                <w:szCs w:val="20"/>
              </w:rPr>
              <w:t>Mês a mês a unidade de Auditoria interna consulta o sistema PUSH no sítio eletrônico do TCU, objetivando verificar as pendências em aberto perante o Tribunal. Diante das solicitações/determinações, a AUDIN alerta e assessora os gestores quanto à necessidade de adotar providências para dirimir as falhas e inconsistências.</w:t>
            </w:r>
          </w:p>
        </w:tc>
      </w:tr>
      <w:tr>
        <w:trPr>
          <w:trHeight w:val="3461" w:hRule="atLeast"/>
        </w:trPr>
        <w:tc>
          <w:tcPr>
            <w:tcW w:w="1974" w:type="dxa"/>
            <w:tcBorders>
              <w:left w:val="single" w:sz="2" w:space="0" w:color="000001"/>
              <w:bottom w:val="single" w:sz="2" w:space="0" w:color="000001"/>
              <w:insideH w:val="single" w:sz="2" w:space="0" w:color="000001"/>
            </w:tcBorders>
            <w:shd w:fill="auto" w:val="clear"/>
            <w:tcMar>
              <w:left w:w="52" w:type="dxa"/>
            </w:tcMar>
          </w:tcPr>
          <w:p>
            <w:pPr>
              <w:pStyle w:val="Contedodatabela"/>
              <w:jc w:val="both"/>
              <w:rPr>
                <w:sz w:val="20"/>
                <w:szCs w:val="20"/>
              </w:rPr>
            </w:pPr>
            <w:r>
              <w:rPr>
                <w:sz w:val="20"/>
                <w:szCs w:val="20"/>
              </w:rPr>
              <w:t>06/2015: Atendimento às diligências dos órgãos de controle e fiscalização (TCU, CGU e MPU), apoio e acompanhamento às solicitações de auditoria nas fiscalizações “in loco” e cumprimento das deliberações expedidas.</w:t>
            </w:r>
          </w:p>
        </w:tc>
        <w:tc>
          <w:tcPr>
            <w:tcW w:w="1416" w:type="dxa"/>
            <w:tcBorders>
              <w:left w:val="single" w:sz="2" w:space="0" w:color="000001"/>
              <w:bottom w:val="single" w:sz="2" w:space="0" w:color="000001"/>
              <w:insideH w:val="single" w:sz="2" w:space="0" w:color="000001"/>
            </w:tcBorders>
            <w:shd w:fill="auto" w:val="clear"/>
            <w:tcMar>
              <w:left w:w="52" w:type="dxa"/>
            </w:tcMar>
          </w:tcPr>
          <w:p>
            <w:pPr>
              <w:pStyle w:val="Contedodatabela"/>
              <w:jc w:val="both"/>
              <w:rPr>
                <w:sz w:val="20"/>
                <w:szCs w:val="20"/>
              </w:rPr>
            </w:pPr>
            <w:r>
              <w:rPr>
                <w:sz w:val="20"/>
                <w:szCs w:val="20"/>
              </w:rPr>
              <w:t>Todo o exercício de 2015</w:t>
            </w:r>
          </w:p>
        </w:tc>
        <w:tc>
          <w:tcPr>
            <w:tcW w:w="5104"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dodatabela"/>
              <w:jc w:val="both"/>
              <w:rPr>
                <w:sz w:val="20"/>
                <w:szCs w:val="20"/>
              </w:rPr>
            </w:pPr>
            <w:r>
              <w:rPr>
                <w:rFonts w:eastAsia="Times New Roman" w:cs="Times New Roman"/>
                <w:sz w:val="20"/>
                <w:szCs w:val="20"/>
              </w:rPr>
              <w:t>Em execução. Em todo o exercício a unidade de Auditoria Interna acompanha as atividades da Controladoria Geral da União no âmbito da UFRPE, prestando apoio e assessorando os gestores quanto ao atendimento das Solicitações de Auditoria, Plano de Providências Permanente e outras atividades, como; denúncia, apurações de irregularidades, etc.  A Audin intermedeia as ações da CGU, TCU e MPU com a UFRPE, prestando todo suporte logístico e de infraestrutura aos servidores dos órgãos externos.</w:t>
            </w:r>
          </w:p>
        </w:tc>
      </w:tr>
      <w:tr>
        <w:trPr/>
        <w:tc>
          <w:tcPr>
            <w:tcW w:w="1974" w:type="dxa"/>
            <w:tcBorders>
              <w:left w:val="single" w:sz="2" w:space="0" w:color="000001"/>
              <w:bottom w:val="single" w:sz="2" w:space="0" w:color="000001"/>
              <w:insideH w:val="single" w:sz="2" w:space="0" w:color="000001"/>
            </w:tcBorders>
            <w:shd w:fill="auto" w:val="clear"/>
            <w:tcMar>
              <w:left w:w="52" w:type="dxa"/>
            </w:tcMar>
          </w:tcPr>
          <w:p>
            <w:pPr>
              <w:pStyle w:val="Contedodatabela"/>
              <w:jc w:val="both"/>
              <w:rPr>
                <w:sz w:val="20"/>
                <w:szCs w:val="20"/>
              </w:rPr>
            </w:pPr>
            <w:r>
              <w:rPr>
                <w:sz w:val="20"/>
                <w:szCs w:val="20"/>
              </w:rPr>
              <w:t>07/2015: Assessoramento à gestão da UFRPE.</w:t>
            </w:r>
          </w:p>
        </w:tc>
        <w:tc>
          <w:tcPr>
            <w:tcW w:w="1416" w:type="dxa"/>
            <w:tcBorders>
              <w:left w:val="single" w:sz="2" w:space="0" w:color="000001"/>
              <w:bottom w:val="single" w:sz="2" w:space="0" w:color="000001"/>
              <w:insideH w:val="single" w:sz="2" w:space="0" w:color="000001"/>
            </w:tcBorders>
            <w:shd w:fill="auto" w:val="clear"/>
            <w:tcMar>
              <w:left w:w="52" w:type="dxa"/>
            </w:tcMar>
          </w:tcPr>
          <w:p>
            <w:pPr>
              <w:pStyle w:val="Contedodatabela"/>
              <w:jc w:val="both"/>
              <w:rPr>
                <w:sz w:val="20"/>
                <w:szCs w:val="20"/>
              </w:rPr>
            </w:pPr>
            <w:r>
              <w:rPr>
                <w:sz w:val="20"/>
                <w:szCs w:val="20"/>
              </w:rPr>
              <w:t>Todo o exercício de 2015</w:t>
            </w:r>
          </w:p>
        </w:tc>
        <w:tc>
          <w:tcPr>
            <w:tcW w:w="5104"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dodatabela"/>
              <w:jc w:val="both"/>
              <w:rPr>
                <w:sz w:val="20"/>
                <w:szCs w:val="20"/>
              </w:rPr>
            </w:pPr>
            <w:r>
              <w:rPr>
                <w:sz w:val="20"/>
                <w:szCs w:val="20"/>
              </w:rPr>
              <w:t>Em execução. A Auditoria Interna presta orientações e alerta à gestora máxima (Presidente do Conselho Universitário) quanto à resolutividade de pendências das recomendações e determinações dos órgãos externos de controle e da própria Auditoria Interna. Além, o Auditor Titular, com o seu corpo técnico, assessora os gestores da instituição quanto á legalidade dos atos administrativos a serem executados, observando sempre os princípios e normas da Administração Pública Federal.</w:t>
            </w:r>
          </w:p>
        </w:tc>
      </w:tr>
      <w:tr>
        <w:trPr/>
        <w:tc>
          <w:tcPr>
            <w:tcW w:w="1974" w:type="dxa"/>
            <w:tcBorders>
              <w:left w:val="single" w:sz="2" w:space="0" w:color="000001"/>
              <w:bottom w:val="single" w:sz="2" w:space="0" w:color="000001"/>
              <w:insideH w:val="single" w:sz="2" w:space="0" w:color="000001"/>
            </w:tcBorders>
            <w:shd w:fill="auto" w:val="clear"/>
            <w:tcMar>
              <w:left w:w="52" w:type="dxa"/>
            </w:tcMar>
          </w:tcPr>
          <w:p>
            <w:pPr>
              <w:pStyle w:val="Contedodatabela"/>
              <w:rPr>
                <w:sz w:val="20"/>
                <w:szCs w:val="20"/>
              </w:rPr>
            </w:pPr>
            <w:r>
              <w:rPr>
                <w:sz w:val="20"/>
                <w:szCs w:val="20"/>
              </w:rPr>
              <w:t>08/2015: Acompanhamento das Recomendações expedidas pela AUDIN/UFRPE.</w:t>
            </w:r>
          </w:p>
        </w:tc>
        <w:tc>
          <w:tcPr>
            <w:tcW w:w="1416" w:type="dxa"/>
            <w:tcBorders>
              <w:left w:val="single" w:sz="2" w:space="0" w:color="000001"/>
              <w:bottom w:val="single" w:sz="2" w:space="0" w:color="000001"/>
              <w:insideH w:val="single" w:sz="2" w:space="0" w:color="000001"/>
            </w:tcBorders>
            <w:shd w:fill="auto" w:val="clear"/>
            <w:tcMar>
              <w:left w:w="52" w:type="dxa"/>
            </w:tcMar>
          </w:tcPr>
          <w:p>
            <w:pPr>
              <w:pStyle w:val="Contedodatabela"/>
              <w:jc w:val="both"/>
              <w:rPr>
                <w:sz w:val="20"/>
                <w:szCs w:val="20"/>
              </w:rPr>
            </w:pPr>
            <w:r>
              <w:rPr>
                <w:sz w:val="20"/>
                <w:szCs w:val="20"/>
              </w:rPr>
              <w:t>02/01 a 31/12/2015</w:t>
            </w:r>
          </w:p>
        </w:tc>
        <w:tc>
          <w:tcPr>
            <w:tcW w:w="5104"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dodatabela"/>
              <w:jc w:val="both"/>
              <w:rPr>
                <w:sz w:val="20"/>
                <w:szCs w:val="20"/>
              </w:rPr>
            </w:pPr>
            <w:r>
              <w:rPr>
                <w:sz w:val="20"/>
                <w:szCs w:val="20"/>
              </w:rPr>
              <w:t>Em execução. A unidade de Auditoria Interna está realizando o follow up das suas recomendações expedidas em exercícios anteriores, são eles: RA n. 02/2011; RA n. 03/2011; RA n. 04/2011; RA n. 05/2011; RA n. 07/2011; RA n. 08/2011; RA n. 01/2012; RA n.  02/2012, RA n. 03/2012, RA n. 01/2013; RA n. 02/2013. Foram emitidas Notas Técnicas n.s: 01/2015 (acompanhamento das recomendações contidas no RA n. 04/2014); 02/2015(retificação dos setores nas recomendações contidas nos RA´s n.s 04/2011 e 03/2012); Nota Técnica n. 03/2015 (acompanhamento das recomendações contidas no RA n. 01/2014) e Nota Técnica n. 04/2015 (acompanhamento das recomendações contidas no RA n. 07/2011).</w:t>
            </w:r>
          </w:p>
          <w:p>
            <w:pPr>
              <w:pStyle w:val="Contedodatabela"/>
              <w:jc w:val="both"/>
              <w:rPr>
                <w:sz w:val="20"/>
                <w:szCs w:val="20"/>
              </w:rPr>
            </w:pPr>
            <w:r>
              <w:rPr>
                <w:sz w:val="20"/>
                <w:szCs w:val="20"/>
              </w:rPr>
              <w:t>Os demais acompanhamentos serão consignados no corpo dos Relatórios de Auditoria ou em Notas Técnicas das atividades em execução.</w:t>
            </w:r>
          </w:p>
        </w:tc>
      </w:tr>
      <w:tr>
        <w:trPr/>
        <w:tc>
          <w:tcPr>
            <w:tcW w:w="1974" w:type="dxa"/>
            <w:tcBorders>
              <w:left w:val="single" w:sz="2" w:space="0" w:color="000001"/>
              <w:bottom w:val="single" w:sz="2" w:space="0" w:color="000001"/>
              <w:insideH w:val="single" w:sz="2" w:space="0" w:color="000001"/>
            </w:tcBorders>
            <w:shd w:fill="auto" w:val="clear"/>
            <w:tcMar>
              <w:left w:w="52" w:type="dxa"/>
            </w:tcMar>
          </w:tcPr>
          <w:p>
            <w:pPr>
              <w:pStyle w:val="Contedodatabela"/>
              <w:jc w:val="both"/>
              <w:rPr>
                <w:sz w:val="20"/>
                <w:szCs w:val="20"/>
              </w:rPr>
            </w:pPr>
            <w:r>
              <w:rPr>
                <w:sz w:val="20"/>
                <w:szCs w:val="20"/>
              </w:rPr>
              <w:t>09/2015: Atividades Administrativas de apoio técnico e operacional da unidade de auditoria interna da UFRPE</w:t>
            </w:r>
          </w:p>
        </w:tc>
        <w:tc>
          <w:tcPr>
            <w:tcW w:w="1416" w:type="dxa"/>
            <w:tcBorders>
              <w:left w:val="single" w:sz="2" w:space="0" w:color="000001"/>
              <w:bottom w:val="single" w:sz="2" w:space="0" w:color="000001"/>
              <w:insideH w:val="single" w:sz="2" w:space="0" w:color="000001"/>
            </w:tcBorders>
            <w:shd w:fill="auto" w:val="clear"/>
            <w:tcMar>
              <w:left w:w="52" w:type="dxa"/>
            </w:tcMar>
          </w:tcPr>
          <w:p>
            <w:pPr>
              <w:pStyle w:val="Contedodatabela"/>
              <w:jc w:val="both"/>
              <w:rPr>
                <w:sz w:val="20"/>
                <w:szCs w:val="20"/>
              </w:rPr>
            </w:pPr>
            <w:r>
              <w:rPr>
                <w:sz w:val="20"/>
                <w:szCs w:val="20"/>
              </w:rPr>
              <w:t>Todo o exercício de 2015</w:t>
            </w:r>
          </w:p>
        </w:tc>
        <w:tc>
          <w:tcPr>
            <w:tcW w:w="5104"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dodatabela"/>
              <w:jc w:val="both"/>
              <w:rPr>
                <w:sz w:val="20"/>
                <w:szCs w:val="20"/>
              </w:rPr>
            </w:pPr>
            <w:r>
              <w:rPr>
                <w:sz w:val="20"/>
                <w:szCs w:val="20"/>
              </w:rPr>
              <w:t>Em execução. Em todo o exercício à AUDIN realiza atividades administrativas como: controle de frequência, emissão de Ofícios, memorandos e comunicados, cópias, digitalizações diversas, etc.</w:t>
            </w:r>
          </w:p>
        </w:tc>
      </w:tr>
      <w:tr>
        <w:trPr/>
        <w:tc>
          <w:tcPr>
            <w:tcW w:w="1974" w:type="dxa"/>
            <w:tcBorders>
              <w:left w:val="single" w:sz="2" w:space="0" w:color="000001"/>
              <w:bottom w:val="single" w:sz="2" w:space="0" w:color="000001"/>
              <w:insideH w:val="single" w:sz="2" w:space="0" w:color="000001"/>
            </w:tcBorders>
            <w:shd w:fill="auto" w:val="clear"/>
            <w:tcMar>
              <w:left w:w="52" w:type="dxa"/>
            </w:tcMar>
          </w:tcPr>
          <w:p>
            <w:pPr>
              <w:pStyle w:val="Contedodatabela"/>
              <w:jc w:val="both"/>
              <w:rPr>
                <w:sz w:val="20"/>
                <w:szCs w:val="20"/>
              </w:rPr>
            </w:pPr>
            <w:r>
              <w:rPr>
                <w:sz w:val="20"/>
                <w:szCs w:val="20"/>
              </w:rPr>
              <w:t>16/2015: emissão de parecer de auditoria interna referente ao processo de prestação de contas do exercício de 2014.</w:t>
            </w:r>
          </w:p>
        </w:tc>
        <w:tc>
          <w:tcPr>
            <w:tcW w:w="1416" w:type="dxa"/>
            <w:tcBorders>
              <w:left w:val="single" w:sz="2" w:space="0" w:color="000001"/>
              <w:bottom w:val="single" w:sz="2" w:space="0" w:color="000001"/>
              <w:insideH w:val="single" w:sz="2" w:space="0" w:color="000001"/>
            </w:tcBorders>
            <w:shd w:fill="auto" w:val="clear"/>
            <w:tcMar>
              <w:left w:w="52" w:type="dxa"/>
            </w:tcMar>
          </w:tcPr>
          <w:p>
            <w:pPr>
              <w:pStyle w:val="Contedodatabela"/>
              <w:jc w:val="both"/>
              <w:rPr>
                <w:sz w:val="20"/>
                <w:szCs w:val="20"/>
              </w:rPr>
            </w:pPr>
            <w:r>
              <w:rPr>
                <w:sz w:val="20"/>
                <w:szCs w:val="20"/>
              </w:rPr>
              <w:t>02/02 a 27/02/2015</w:t>
            </w:r>
          </w:p>
        </w:tc>
        <w:tc>
          <w:tcPr>
            <w:tcW w:w="5104"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dodatabela"/>
              <w:jc w:val="both"/>
              <w:rPr>
                <w:sz w:val="20"/>
                <w:szCs w:val="20"/>
              </w:rPr>
            </w:pPr>
            <w:r>
              <w:rPr>
                <w:sz w:val="20"/>
                <w:szCs w:val="20"/>
              </w:rPr>
              <w:t>Executada. O Parecer de Auditoria Interna foi expedido e anexado ao processo de Contas da UFRPE referente ao exercício de 2014. O Parecer de Auditoria Interna está disponível no e-contas</w:t>
            </w:r>
            <w:r>
              <w:rPr>
                <w:rFonts w:ascii="Liberation Sans" w:hAnsi="Liberation Sans"/>
                <w:color w:val="000000"/>
                <w:sz w:val="20"/>
                <w:szCs w:val="20"/>
              </w:rPr>
              <w:t xml:space="preserve"> </w:t>
            </w:r>
            <w:r>
              <w:rPr>
                <w:color w:val="000000"/>
                <w:sz w:val="20"/>
                <w:szCs w:val="20"/>
              </w:rPr>
              <w:t>(Sistema de prestação de contas dos órgãos e entidades da Administração Pública Federal ao TCU)</w:t>
            </w:r>
          </w:p>
        </w:tc>
      </w:tr>
    </w:tbl>
    <w:p>
      <w:pPr>
        <w:pStyle w:val="Standard"/>
        <w:jc w:val="both"/>
        <w:rPr/>
      </w:pPr>
      <w:r>
        <w:rPr/>
      </w:r>
    </w:p>
    <w:p>
      <w:pPr>
        <w:pStyle w:val="Standard"/>
        <w:jc w:val="both"/>
        <w:rPr/>
      </w:pPr>
      <w:r>
        <w:rPr/>
        <w:t xml:space="preserve">Além disso, o Auditor Titular informou que se encontram em fase de conclusão as Atividades </w:t>
      </w:r>
      <w:r>
        <w:rPr>
          <w:rFonts w:eastAsia="Calibri" w:cs="Times New Roman"/>
          <w:sz w:val="22"/>
          <w:szCs w:val="22"/>
          <w:lang w:eastAsia="en-US"/>
        </w:rPr>
        <w:t xml:space="preserve">04/2015 e </w:t>
      </w:r>
      <w:r>
        <w:rPr/>
        <w:t>11/2015, conforme relato a seguir:</w:t>
      </w:r>
    </w:p>
    <w:p>
      <w:pPr>
        <w:pStyle w:val="Standard"/>
        <w:jc w:val="both"/>
        <w:rPr/>
      </w:pPr>
      <w:r>
        <w:rPr/>
        <w:t xml:space="preserve"> </w:t>
      </w:r>
    </w:p>
    <w:tbl>
      <w:tblPr>
        <w:tblW w:w="8494" w:type="dxa"/>
        <w:jc w:val="left"/>
        <w:tblInd w:w="111" w:type="dxa"/>
        <w:tblBorders>
          <w:top w:val="single" w:sz="2" w:space="0" w:color="000001"/>
          <w:left w:val="single" w:sz="2" w:space="0" w:color="000001"/>
          <w:bottom w:val="single" w:sz="2" w:space="0" w:color="000001"/>
          <w:insideH w:val="single" w:sz="2" w:space="0" w:color="000001"/>
        </w:tblBorders>
        <w:tblCellMar>
          <w:top w:w="55" w:type="dxa"/>
          <w:left w:w="52" w:type="dxa"/>
          <w:bottom w:w="55" w:type="dxa"/>
          <w:right w:w="55" w:type="dxa"/>
        </w:tblCellMar>
        <w:tblLook w:noVBand="0" w:val="0000" w:noHBand="0" w:lastColumn="0" w:firstColumn="0" w:lastRow="0" w:firstRow="0"/>
      </w:tblPr>
      <w:tblGrid>
        <w:gridCol w:w="1974"/>
        <w:gridCol w:w="1416"/>
        <w:gridCol w:w="5104"/>
      </w:tblGrid>
      <w:tr>
        <w:trPr/>
        <w:tc>
          <w:tcPr>
            <w:tcW w:w="1974" w:type="dxa"/>
            <w:tcBorders>
              <w:top w:val="single" w:sz="2" w:space="0" w:color="000001"/>
              <w:left w:val="single" w:sz="2" w:space="0" w:color="000001"/>
              <w:bottom w:val="single" w:sz="2" w:space="0" w:color="000001"/>
              <w:insideH w:val="single" w:sz="2" w:space="0" w:color="000001"/>
            </w:tcBorders>
            <w:shd w:fill="auto" w:val="clear"/>
            <w:tcMar>
              <w:left w:w="52" w:type="dxa"/>
            </w:tcMar>
          </w:tcPr>
          <w:p>
            <w:pPr>
              <w:pStyle w:val="Contedodatabela"/>
              <w:jc w:val="center"/>
              <w:rPr>
                <w:b/>
                <w:b/>
                <w:bCs/>
                <w:sz w:val="20"/>
                <w:szCs w:val="20"/>
              </w:rPr>
            </w:pPr>
            <w:r>
              <w:rPr>
                <w:b/>
                <w:bCs/>
                <w:sz w:val="20"/>
                <w:szCs w:val="20"/>
              </w:rPr>
              <w:t>Atividade</w:t>
            </w:r>
          </w:p>
        </w:tc>
        <w:tc>
          <w:tcPr>
            <w:tcW w:w="1416" w:type="dxa"/>
            <w:tcBorders>
              <w:top w:val="single" w:sz="2" w:space="0" w:color="000001"/>
              <w:left w:val="single" w:sz="2" w:space="0" w:color="000001"/>
              <w:bottom w:val="single" w:sz="2" w:space="0" w:color="000001"/>
              <w:insideH w:val="single" w:sz="2" w:space="0" w:color="000001"/>
            </w:tcBorders>
            <w:shd w:fill="auto" w:val="clear"/>
            <w:tcMar>
              <w:left w:w="52" w:type="dxa"/>
            </w:tcMar>
          </w:tcPr>
          <w:p>
            <w:pPr>
              <w:pStyle w:val="Contedodatabela"/>
              <w:jc w:val="center"/>
              <w:rPr>
                <w:b/>
                <w:b/>
                <w:bCs/>
                <w:sz w:val="20"/>
                <w:szCs w:val="20"/>
              </w:rPr>
            </w:pPr>
            <w:r>
              <w:rPr>
                <w:b/>
                <w:bCs/>
                <w:sz w:val="20"/>
                <w:szCs w:val="20"/>
              </w:rPr>
              <w:t>Prazo de Execução</w:t>
            </w:r>
          </w:p>
        </w:tc>
        <w:tc>
          <w:tcPr>
            <w:tcW w:w="510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dodatabela"/>
              <w:jc w:val="both"/>
              <w:rPr>
                <w:b/>
                <w:b/>
                <w:bCs/>
                <w:sz w:val="20"/>
                <w:szCs w:val="20"/>
              </w:rPr>
            </w:pPr>
            <w:r>
              <w:rPr>
                <w:b/>
                <w:bCs/>
                <w:sz w:val="20"/>
                <w:szCs w:val="20"/>
              </w:rPr>
              <w:t>Situação de realização (</w:t>
            </w:r>
            <w:r>
              <w:rPr>
                <w:b/>
                <w:sz w:val="20"/>
                <w:szCs w:val="20"/>
              </w:rPr>
              <w:t>Ofício nº 13/2015 – AUDIN, de 16 de outubro de 2015</w:t>
            </w:r>
            <w:r>
              <w:rPr>
                <w:b/>
                <w:bCs/>
                <w:sz w:val="20"/>
                <w:szCs w:val="20"/>
              </w:rPr>
              <w:t>)</w:t>
            </w:r>
          </w:p>
        </w:tc>
      </w:tr>
      <w:tr>
        <w:trPr/>
        <w:tc>
          <w:tcPr>
            <w:tcW w:w="1974" w:type="dxa"/>
            <w:tcBorders>
              <w:left w:val="single" w:sz="2" w:space="0" w:color="000001"/>
              <w:bottom w:val="single" w:sz="2" w:space="0" w:color="000001"/>
              <w:insideH w:val="single" w:sz="2" w:space="0" w:color="000001"/>
            </w:tcBorders>
            <w:shd w:fill="auto" w:val="clear"/>
            <w:tcMar>
              <w:left w:w="52" w:type="dxa"/>
            </w:tcMar>
          </w:tcPr>
          <w:p>
            <w:pPr>
              <w:pStyle w:val="Contedodatabela"/>
              <w:jc w:val="both"/>
              <w:rPr>
                <w:sz w:val="20"/>
                <w:szCs w:val="20"/>
              </w:rPr>
            </w:pPr>
            <w:r>
              <w:rPr>
                <w:sz w:val="20"/>
                <w:szCs w:val="20"/>
              </w:rPr>
              <w:t>04/2015: Elaboração do PAINT/2016.</w:t>
            </w:r>
          </w:p>
        </w:tc>
        <w:tc>
          <w:tcPr>
            <w:tcW w:w="1416" w:type="dxa"/>
            <w:tcBorders>
              <w:left w:val="single" w:sz="2" w:space="0" w:color="000001"/>
              <w:bottom w:val="single" w:sz="2" w:space="0" w:color="000001"/>
              <w:insideH w:val="single" w:sz="2" w:space="0" w:color="000001"/>
            </w:tcBorders>
            <w:shd w:fill="auto" w:val="clear"/>
            <w:tcMar>
              <w:left w:w="52" w:type="dxa"/>
            </w:tcMar>
          </w:tcPr>
          <w:p>
            <w:pPr>
              <w:pStyle w:val="Contedodatabela"/>
              <w:jc w:val="both"/>
              <w:rPr>
                <w:sz w:val="20"/>
                <w:szCs w:val="20"/>
              </w:rPr>
            </w:pPr>
            <w:r>
              <w:rPr>
                <w:sz w:val="20"/>
                <w:szCs w:val="20"/>
              </w:rPr>
              <w:t>02/01 a 31/10/15</w:t>
            </w:r>
          </w:p>
        </w:tc>
        <w:tc>
          <w:tcPr>
            <w:tcW w:w="5104"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dodatabela"/>
              <w:jc w:val="both"/>
              <w:rPr>
                <w:sz w:val="20"/>
                <w:szCs w:val="20"/>
              </w:rPr>
            </w:pPr>
            <w:r>
              <w:rPr>
                <w:sz w:val="20"/>
                <w:szCs w:val="20"/>
              </w:rPr>
              <w:t>O Auditor Titular da unidade de Auditoria Interna está elaborando o PAINT desde o dia 05/10/2015, sendo previsto a entrega do instrumento à CGU, para análise prévia, até o dia 30 de outubro de 2015.</w:t>
            </w:r>
          </w:p>
        </w:tc>
      </w:tr>
      <w:tr>
        <w:trPr>
          <w:trHeight w:val="2071" w:hRule="atLeast"/>
        </w:trPr>
        <w:tc>
          <w:tcPr>
            <w:tcW w:w="1974" w:type="dxa"/>
            <w:tcBorders>
              <w:left w:val="single" w:sz="2" w:space="0" w:color="000001"/>
              <w:bottom w:val="single" w:sz="2" w:space="0" w:color="000001"/>
              <w:insideH w:val="single" w:sz="2" w:space="0" w:color="000001"/>
            </w:tcBorders>
            <w:shd w:fill="auto" w:val="clear"/>
            <w:tcMar>
              <w:left w:w="52" w:type="dxa"/>
            </w:tcMar>
          </w:tcPr>
          <w:p>
            <w:pPr>
              <w:pStyle w:val="Contedodatabela"/>
              <w:jc w:val="both"/>
              <w:rPr>
                <w:sz w:val="20"/>
                <w:szCs w:val="20"/>
              </w:rPr>
            </w:pPr>
            <w:r>
              <w:rPr>
                <w:sz w:val="20"/>
                <w:szCs w:val="20"/>
              </w:rPr>
              <w:t>11/2015: Acompanhamento e avaliação da metodologia de planejamento, realização e execução das metas físicas e financeiras dos programas e ações da UFRPE referente ao exercício de 2014.</w:t>
            </w:r>
          </w:p>
        </w:tc>
        <w:tc>
          <w:tcPr>
            <w:tcW w:w="1416" w:type="dxa"/>
            <w:tcBorders>
              <w:left w:val="single" w:sz="2" w:space="0" w:color="000001"/>
              <w:bottom w:val="single" w:sz="2" w:space="0" w:color="000001"/>
              <w:insideH w:val="single" w:sz="2" w:space="0" w:color="000001"/>
            </w:tcBorders>
            <w:shd w:fill="auto" w:val="clear"/>
            <w:tcMar>
              <w:left w:w="52" w:type="dxa"/>
            </w:tcMar>
          </w:tcPr>
          <w:p>
            <w:pPr>
              <w:pStyle w:val="Contedodatabela"/>
              <w:jc w:val="both"/>
              <w:rPr>
                <w:color w:val="000000"/>
                <w:sz w:val="20"/>
                <w:szCs w:val="20"/>
              </w:rPr>
            </w:pPr>
            <w:r>
              <w:rPr>
                <w:color w:val="000000"/>
                <w:sz w:val="20"/>
                <w:szCs w:val="20"/>
              </w:rPr>
              <w:t>02/01 a 13/03/2015</w:t>
            </w:r>
          </w:p>
        </w:tc>
        <w:tc>
          <w:tcPr>
            <w:tcW w:w="5104"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dodatabela"/>
              <w:jc w:val="both"/>
              <w:rPr>
                <w:color w:val="000000"/>
                <w:sz w:val="20"/>
                <w:szCs w:val="20"/>
              </w:rPr>
            </w:pPr>
            <w:r>
              <w:rPr>
                <w:rFonts w:eastAsia="Times New Roman" w:cs="Times New Roman"/>
                <w:color w:val="000000"/>
                <w:sz w:val="20"/>
                <w:szCs w:val="20"/>
              </w:rPr>
              <w:t>Relatório finalizado em revisão pelo Auditor Titular da AUDIN/UFRPE. O prazo de realização da atividade ficou prejudicado em relação ao previsto no PAINT, tendo em vista o afastamento da servidora Sra. Rosane Bezerra de Magalhães para tratamento de saúde no período de 17/03/15 a 05/04/2015 e greve dos servidores da UFRPE no período 28/05/2015 a 13/10/2015. Ademais, o  Relatório de Gestão, o RAINT e as diligências da CGU, que foi intensificada devido à escolha da UFRPE em prestar contas ao TCU, foram os motivos principais para dilação do prazo previsto no PAINT.</w:t>
            </w:r>
          </w:p>
        </w:tc>
      </w:tr>
    </w:tbl>
    <w:p>
      <w:pPr>
        <w:pStyle w:val="Standard"/>
        <w:jc w:val="both"/>
        <w:rPr/>
      </w:pPr>
      <w:r>
        <w:rPr/>
      </w:r>
    </w:p>
    <w:p>
      <w:pPr>
        <w:pStyle w:val="Standard"/>
        <w:jc w:val="both"/>
        <w:rPr/>
      </w:pPr>
      <w:r>
        <w:rPr/>
        <w:t>Conforme informado pelo Auditor Titular da AUDIN/UFRPE foram desenvolvidas as seguintes atividades não prevista no PAINT/2015.</w:t>
      </w:r>
    </w:p>
    <w:p>
      <w:pPr>
        <w:pStyle w:val="Standard"/>
        <w:jc w:val="both"/>
        <w:rPr/>
      </w:pPr>
      <w:r>
        <w:rPr/>
      </w:r>
    </w:p>
    <w:tbl>
      <w:tblPr>
        <w:tblW w:w="8515" w:type="dxa"/>
        <w:jc w:val="left"/>
        <w:tblInd w:w="90" w:type="dxa"/>
        <w:tblBorders>
          <w:top w:val="single" w:sz="2" w:space="0" w:color="000001"/>
          <w:left w:val="single" w:sz="2" w:space="0" w:color="000001"/>
          <w:bottom w:val="single" w:sz="2" w:space="0" w:color="000001"/>
          <w:insideH w:val="single" w:sz="2" w:space="0" w:color="000001"/>
        </w:tblBorders>
        <w:tblCellMar>
          <w:top w:w="55" w:type="dxa"/>
          <w:left w:w="52" w:type="dxa"/>
          <w:bottom w:w="55" w:type="dxa"/>
          <w:right w:w="55" w:type="dxa"/>
        </w:tblCellMar>
        <w:tblLook w:noVBand="1" w:val="04a0" w:noHBand="0" w:lastColumn="0" w:firstColumn="1" w:lastRow="0" w:firstRow="1"/>
      </w:tblPr>
      <w:tblGrid>
        <w:gridCol w:w="3554"/>
        <w:gridCol w:w="4960"/>
      </w:tblGrid>
      <w:tr>
        <w:trPr/>
        <w:tc>
          <w:tcPr>
            <w:tcW w:w="3554" w:type="dxa"/>
            <w:tcBorders>
              <w:top w:val="single" w:sz="2" w:space="0" w:color="000001"/>
              <w:left w:val="single" w:sz="2" w:space="0" w:color="000001"/>
              <w:bottom w:val="single" w:sz="2" w:space="0" w:color="000001"/>
              <w:insideH w:val="single" w:sz="2" w:space="0" w:color="000001"/>
            </w:tcBorders>
            <w:shd w:fill="auto" w:val="clear"/>
            <w:tcMar>
              <w:left w:w="52" w:type="dxa"/>
            </w:tcMar>
          </w:tcPr>
          <w:p>
            <w:pPr>
              <w:pStyle w:val="Contedodatabela"/>
              <w:rPr>
                <w:rFonts w:cs="Times New Roman"/>
                <w:b/>
                <w:b/>
                <w:bCs/>
                <w:sz w:val="20"/>
                <w:szCs w:val="20"/>
              </w:rPr>
            </w:pPr>
            <w:r>
              <w:rPr>
                <w:rFonts w:cs="Times New Roman"/>
                <w:b/>
                <w:bCs/>
                <w:sz w:val="20"/>
                <w:szCs w:val="20"/>
              </w:rPr>
              <w:t>Atividades realizadas não previstas no PAINT/2015</w:t>
            </w:r>
          </w:p>
        </w:tc>
        <w:tc>
          <w:tcPr>
            <w:tcW w:w="496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dodatabela"/>
              <w:jc w:val="center"/>
              <w:rPr>
                <w:rFonts w:cs="Times New Roman"/>
                <w:b/>
                <w:b/>
                <w:bCs/>
                <w:sz w:val="20"/>
                <w:szCs w:val="20"/>
              </w:rPr>
            </w:pPr>
            <w:r>
              <w:rPr>
                <w:rFonts w:cs="Times New Roman"/>
                <w:b/>
                <w:bCs/>
                <w:sz w:val="20"/>
                <w:szCs w:val="20"/>
              </w:rPr>
              <w:t>Situação</w:t>
            </w:r>
          </w:p>
        </w:tc>
      </w:tr>
      <w:tr>
        <w:trPr/>
        <w:tc>
          <w:tcPr>
            <w:tcW w:w="3554" w:type="dxa"/>
            <w:tcBorders>
              <w:left w:val="single" w:sz="2" w:space="0" w:color="000001"/>
              <w:bottom w:val="single" w:sz="2" w:space="0" w:color="000001"/>
              <w:insideH w:val="single" w:sz="2" w:space="0" w:color="000001"/>
            </w:tcBorders>
            <w:shd w:fill="auto" w:val="clear"/>
            <w:tcMar>
              <w:left w:w="52" w:type="dxa"/>
            </w:tcMar>
          </w:tcPr>
          <w:p>
            <w:pPr>
              <w:pStyle w:val="Contedodatabela"/>
              <w:jc w:val="both"/>
              <w:rPr>
                <w:rFonts w:cs="Times New Roman"/>
                <w:sz w:val="20"/>
                <w:szCs w:val="20"/>
              </w:rPr>
            </w:pPr>
            <w:r>
              <w:rPr>
                <w:rFonts w:cs="Times New Roman"/>
                <w:sz w:val="20"/>
                <w:szCs w:val="20"/>
              </w:rPr>
              <w:t>Apuração de denúncia referente à concessão de Função Comissionada de Coordenação de Curso (FUCC). Demanda: Ofício n. 13647/2015/DSESU I/DS/SFC/CGU-PR.</w:t>
            </w:r>
          </w:p>
        </w:tc>
        <w:tc>
          <w:tcPr>
            <w:tcW w:w="4960"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dodatabela"/>
              <w:jc w:val="both"/>
              <w:rPr>
                <w:rFonts w:cs="Times New Roman"/>
                <w:sz w:val="20"/>
                <w:szCs w:val="20"/>
              </w:rPr>
            </w:pPr>
            <w:r>
              <w:rPr>
                <w:rFonts w:cs="Times New Roman"/>
                <w:sz w:val="20"/>
                <w:szCs w:val="20"/>
              </w:rPr>
              <w:t>Atividade realizada, conforme informado à CGU por meio do Ofício n. 12/2015 – AUDIN e seus anexos.</w:t>
            </w:r>
          </w:p>
        </w:tc>
      </w:tr>
      <w:tr>
        <w:trPr/>
        <w:tc>
          <w:tcPr>
            <w:tcW w:w="3554" w:type="dxa"/>
            <w:tcBorders>
              <w:left w:val="single" w:sz="2" w:space="0" w:color="000001"/>
              <w:bottom w:val="single" w:sz="2" w:space="0" w:color="000001"/>
              <w:insideH w:val="single" w:sz="2" w:space="0" w:color="000001"/>
            </w:tcBorders>
            <w:shd w:fill="auto" w:val="clear"/>
            <w:tcMar>
              <w:left w:w="52" w:type="dxa"/>
            </w:tcMar>
          </w:tcPr>
          <w:p>
            <w:pPr>
              <w:pStyle w:val="Contedodatabela"/>
              <w:jc w:val="both"/>
              <w:rPr>
                <w:rFonts w:cs="Times New Roman"/>
                <w:sz w:val="20"/>
                <w:szCs w:val="20"/>
              </w:rPr>
            </w:pPr>
            <w:r>
              <w:rPr>
                <w:rFonts w:cs="Times New Roman"/>
                <w:sz w:val="20"/>
                <w:szCs w:val="20"/>
              </w:rPr>
              <w:t>Apuração de denúncia referente à Acumulação de Cargos por servidor da UFRPE. Demanda: Ofício n. 12790/2015/AUD/CGU-Regional/PE – NAC 01.</w:t>
            </w:r>
          </w:p>
        </w:tc>
        <w:tc>
          <w:tcPr>
            <w:tcW w:w="4960"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dodatabela"/>
              <w:jc w:val="both"/>
              <w:rPr>
                <w:rFonts w:cs="Times New Roman"/>
                <w:sz w:val="20"/>
                <w:szCs w:val="20"/>
              </w:rPr>
            </w:pPr>
            <w:r>
              <w:rPr>
                <w:rFonts w:cs="Times New Roman"/>
                <w:sz w:val="20"/>
                <w:szCs w:val="20"/>
              </w:rPr>
              <w:t>Atividade realizada, foi enviado à CGU/PE Ofício n. 389/2015-GR com as informações requeridas.</w:t>
            </w:r>
          </w:p>
        </w:tc>
      </w:tr>
      <w:tr>
        <w:trPr/>
        <w:tc>
          <w:tcPr>
            <w:tcW w:w="3554" w:type="dxa"/>
            <w:tcBorders>
              <w:left w:val="single" w:sz="2" w:space="0" w:color="000001"/>
              <w:bottom w:val="single" w:sz="2" w:space="0" w:color="000001"/>
              <w:insideH w:val="single" w:sz="2" w:space="0" w:color="000001"/>
            </w:tcBorders>
            <w:shd w:fill="auto" w:val="clear"/>
            <w:tcMar>
              <w:left w:w="52" w:type="dxa"/>
            </w:tcMar>
          </w:tcPr>
          <w:p>
            <w:pPr>
              <w:pStyle w:val="Contedodatabela"/>
              <w:jc w:val="both"/>
              <w:rPr>
                <w:rFonts w:cs="Times New Roman"/>
                <w:sz w:val="20"/>
                <w:szCs w:val="20"/>
              </w:rPr>
            </w:pPr>
            <w:r>
              <w:rPr>
                <w:rFonts w:cs="Times New Roman"/>
                <w:sz w:val="20"/>
                <w:szCs w:val="20"/>
              </w:rPr>
              <w:t>Apuração de denúncias que versam sobre suposto favorecimento a candidatos em processo seletivo para tutor em Educação à distância. Demanda: Ofício n. 11351/DSEDU I/DS/SFC/CGU-PR.</w:t>
            </w:r>
          </w:p>
        </w:tc>
        <w:tc>
          <w:tcPr>
            <w:tcW w:w="4960"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dodatabela"/>
              <w:jc w:val="both"/>
              <w:rPr>
                <w:rFonts w:cs="Times New Roman"/>
                <w:sz w:val="20"/>
                <w:szCs w:val="20"/>
              </w:rPr>
            </w:pPr>
            <w:r>
              <w:rPr>
                <w:rFonts w:cs="Times New Roman"/>
                <w:sz w:val="20"/>
                <w:szCs w:val="20"/>
              </w:rPr>
              <w:t xml:space="preserve">Atividade realizada, conforme pareceres de Auditoria n.s 02 e 03/2015 </w:t>
            </w:r>
            <w:r>
              <w:rPr>
                <w:rFonts w:cs="Times New Roman"/>
                <w:bCs/>
                <w:sz w:val="20"/>
                <w:szCs w:val="20"/>
              </w:rPr>
              <w:t>em anexo</w:t>
            </w:r>
            <w:r>
              <w:rPr>
                <w:rFonts w:cs="Times New Roman"/>
                <w:sz w:val="20"/>
                <w:szCs w:val="20"/>
              </w:rPr>
              <w:t>. Os pareceres serão enviados, tanto à CGU/PE quanto à DSEDU I/CGU-PR, dentro do prazo previsto no art. 8º da Instrução Normativa CGU nº 07/2006.</w:t>
            </w:r>
          </w:p>
        </w:tc>
      </w:tr>
      <w:tr>
        <w:trPr/>
        <w:tc>
          <w:tcPr>
            <w:tcW w:w="3554" w:type="dxa"/>
            <w:tcBorders>
              <w:left w:val="single" w:sz="2" w:space="0" w:color="000001"/>
              <w:bottom w:val="single" w:sz="2" w:space="0" w:color="000001"/>
              <w:insideH w:val="single" w:sz="2" w:space="0" w:color="000001"/>
            </w:tcBorders>
            <w:shd w:fill="auto" w:val="clear"/>
            <w:tcMar>
              <w:left w:w="52" w:type="dxa"/>
            </w:tcMar>
          </w:tcPr>
          <w:p>
            <w:pPr>
              <w:pStyle w:val="Contedodatabela"/>
              <w:jc w:val="both"/>
              <w:rPr>
                <w:rFonts w:cs="Times New Roman"/>
                <w:sz w:val="20"/>
                <w:szCs w:val="20"/>
              </w:rPr>
            </w:pPr>
            <w:r>
              <w:rPr>
                <w:rFonts w:cs="Times New Roman"/>
                <w:sz w:val="20"/>
                <w:szCs w:val="20"/>
              </w:rPr>
              <w:t>Desenvolvimento Institucional: Construção do sítio eletrônico da unidade de Auditoria Interna.</w:t>
            </w:r>
          </w:p>
        </w:tc>
        <w:tc>
          <w:tcPr>
            <w:tcW w:w="4960" w:type="dxa"/>
            <w:tcBorders>
              <w:left w:val="single" w:sz="2" w:space="0" w:color="000001"/>
              <w:bottom w:val="single" w:sz="2" w:space="0" w:color="000001"/>
              <w:right w:val="single" w:sz="2" w:space="0" w:color="000001"/>
              <w:insideH w:val="single" w:sz="2" w:space="0" w:color="000001"/>
              <w:insideV w:val="single" w:sz="2" w:space="0" w:color="000001"/>
            </w:tcBorders>
            <w:shd w:fill="auto" w:val="clear"/>
            <w:tcMar>
              <w:left w:w="52" w:type="dxa"/>
            </w:tcMar>
          </w:tcPr>
          <w:p>
            <w:pPr>
              <w:pStyle w:val="Contedodatabela"/>
              <w:jc w:val="both"/>
              <w:rPr>
                <w:rFonts w:cs="Times New Roman"/>
                <w:sz w:val="20"/>
                <w:szCs w:val="20"/>
              </w:rPr>
            </w:pPr>
            <w:r>
              <w:rPr>
                <w:rFonts w:cs="Times New Roman"/>
                <w:sz w:val="20"/>
                <w:szCs w:val="20"/>
              </w:rPr>
              <w:t>Home page construída, conforme endereço eletrônico: www. audin.ufrpe.br</w:t>
            </w:r>
          </w:p>
        </w:tc>
      </w:tr>
    </w:tbl>
    <w:p>
      <w:pPr>
        <w:pStyle w:val="Standard"/>
        <w:jc w:val="both"/>
        <w:rPr/>
      </w:pPr>
      <w:r>
        <w:rPr/>
      </w:r>
    </w:p>
    <w:p>
      <w:pPr>
        <w:pStyle w:val="Standard"/>
        <w:jc w:val="both"/>
        <w:rPr/>
      </w:pPr>
      <w:r>
        <w:rPr/>
        <w:t>Contudo, constatou-se que as ações de controle ainda não foram realizadas. Algumas ações ainda estão no prazo de execução, mas o Auditor Titular da AUDIN/UFRPE informou que não será possível realizá-las no prazo previsto. O quadro seguinte apresenta as atividades pendentes de realização na Unidade:</w:t>
      </w:r>
    </w:p>
    <w:p>
      <w:pPr>
        <w:pStyle w:val="Default"/>
        <w:jc w:val="center"/>
        <w:rPr>
          <w:rFonts w:ascii="Times New Roman" w:hAnsi="Times New Roman" w:cs="Times New Roman"/>
          <w:color w:val="00000A"/>
          <w:u w:val="single"/>
        </w:rPr>
      </w:pPr>
      <w:r>
        <w:rPr>
          <w:rFonts w:cs="Times New Roman" w:ascii="Times New Roman" w:hAnsi="Times New Roman"/>
          <w:color w:val="00000A"/>
          <w:u w:val="single"/>
        </w:rPr>
      </w:r>
    </w:p>
    <w:tbl>
      <w:tblPr>
        <w:tblW w:w="8505"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noVBand="1" w:val="04a0" w:noHBand="0" w:lastColumn="0" w:firstColumn="1" w:lastRow="0" w:firstRow="1"/>
      </w:tblPr>
      <w:tblGrid>
        <w:gridCol w:w="5529"/>
        <w:gridCol w:w="1842"/>
        <w:gridCol w:w="1134"/>
      </w:tblGrid>
      <w:tr>
        <w:trPr/>
        <w:tc>
          <w:tcPr>
            <w:tcW w:w="55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Default"/>
              <w:jc w:val="center"/>
              <w:rPr>
                <w:rFonts w:ascii="Times New Roman" w:hAnsi="Times New Roman" w:eastAsia="Calibri" w:cs="Times New Roman"/>
                <w:b/>
                <w:b/>
                <w:color w:val="00000A"/>
                <w:sz w:val="20"/>
                <w:szCs w:val="20"/>
                <w:lang w:eastAsia="en-US"/>
              </w:rPr>
            </w:pPr>
            <w:r>
              <w:rPr>
                <w:rFonts w:eastAsia="Calibri" w:cs="Times New Roman" w:ascii="Times New Roman" w:hAnsi="Times New Roman"/>
                <w:b/>
                <w:color w:val="00000A"/>
                <w:sz w:val="20"/>
                <w:szCs w:val="20"/>
                <w:lang w:eastAsia="en-US"/>
              </w:rPr>
              <w:t>Atividade</w:t>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Default"/>
              <w:jc w:val="center"/>
              <w:rPr>
                <w:rFonts w:ascii="Times New Roman" w:hAnsi="Times New Roman" w:eastAsia="Calibri" w:cs="Times New Roman"/>
                <w:b/>
                <w:b/>
                <w:color w:val="00000A"/>
                <w:sz w:val="20"/>
                <w:szCs w:val="20"/>
                <w:lang w:eastAsia="en-US"/>
              </w:rPr>
            </w:pPr>
            <w:r>
              <w:rPr>
                <w:rFonts w:eastAsia="Calibri" w:cs="Times New Roman" w:ascii="Times New Roman" w:hAnsi="Times New Roman"/>
                <w:b/>
                <w:color w:val="00000A"/>
                <w:sz w:val="20"/>
                <w:szCs w:val="20"/>
                <w:lang w:eastAsia="en-US"/>
              </w:rPr>
              <w:t>Prazo de Execução</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Default"/>
              <w:jc w:val="center"/>
              <w:rPr>
                <w:rFonts w:ascii="Times New Roman" w:hAnsi="Times New Roman" w:eastAsia="Calibri" w:cs="Times New Roman"/>
                <w:b/>
                <w:b/>
                <w:color w:val="00000A"/>
                <w:sz w:val="20"/>
                <w:szCs w:val="20"/>
                <w:lang w:eastAsia="en-US"/>
              </w:rPr>
            </w:pPr>
            <w:r>
              <w:rPr>
                <w:rFonts w:eastAsia="Calibri" w:cs="Times New Roman" w:ascii="Times New Roman" w:hAnsi="Times New Roman"/>
                <w:b/>
                <w:color w:val="00000A"/>
                <w:sz w:val="20"/>
                <w:szCs w:val="20"/>
                <w:lang w:eastAsia="en-US"/>
              </w:rPr>
              <w:t>Situação</w:t>
            </w:r>
          </w:p>
        </w:tc>
      </w:tr>
      <w:tr>
        <w:trPr/>
        <w:tc>
          <w:tcPr>
            <w:tcW w:w="55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Default"/>
              <w:jc w:val="both"/>
              <w:rPr>
                <w:rFonts w:ascii="Times New Roman" w:hAnsi="Times New Roman" w:eastAsia="Calibri" w:cs="Times New Roman"/>
                <w:color w:val="00000A"/>
                <w:sz w:val="20"/>
                <w:szCs w:val="20"/>
                <w:lang w:eastAsia="en-US"/>
              </w:rPr>
            </w:pPr>
            <w:r>
              <w:rPr>
                <w:rFonts w:eastAsia="Calibri" w:cs="Times New Roman" w:ascii="Times New Roman" w:hAnsi="Times New Roman"/>
                <w:color w:val="00000A"/>
                <w:sz w:val="20"/>
                <w:szCs w:val="20"/>
                <w:lang w:eastAsia="en-US"/>
              </w:rPr>
              <w:t xml:space="preserve">10/2015: Auditoria em obras, processos licitatórios correspondentes e avaliação dos critérios de sustentabilidade ambiental das obras auditadas </w:t>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Default"/>
              <w:rPr>
                <w:rFonts w:ascii="Times New Roman" w:hAnsi="Times New Roman" w:eastAsia="Calibri" w:cs="Times New Roman"/>
                <w:color w:val="00000A"/>
                <w:sz w:val="20"/>
                <w:szCs w:val="20"/>
                <w:lang w:eastAsia="en-US"/>
              </w:rPr>
            </w:pPr>
            <w:r>
              <w:rPr>
                <w:rFonts w:eastAsia="Calibri" w:cs="Times New Roman" w:ascii="Times New Roman" w:hAnsi="Times New Roman"/>
                <w:color w:val="00000A"/>
                <w:sz w:val="20"/>
                <w:szCs w:val="20"/>
                <w:lang w:eastAsia="en-US"/>
              </w:rPr>
              <w:t>02/01 a 31/08/15</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Default"/>
              <w:rPr>
                <w:rFonts w:ascii="Times New Roman" w:hAnsi="Times New Roman" w:eastAsia="Calibri" w:cs="Times New Roman"/>
                <w:color w:val="00000A"/>
                <w:sz w:val="20"/>
                <w:szCs w:val="20"/>
                <w:lang w:eastAsia="en-US"/>
              </w:rPr>
            </w:pPr>
            <w:r>
              <w:rPr>
                <w:rFonts w:eastAsia="Calibri" w:cs="Times New Roman" w:ascii="Times New Roman" w:hAnsi="Times New Roman"/>
                <w:color w:val="00000A"/>
                <w:sz w:val="20"/>
                <w:szCs w:val="20"/>
                <w:lang w:eastAsia="en-US"/>
              </w:rPr>
              <w:t>Em atraso</w:t>
            </w:r>
          </w:p>
        </w:tc>
      </w:tr>
      <w:tr>
        <w:trPr/>
        <w:tc>
          <w:tcPr>
            <w:tcW w:w="55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Default"/>
              <w:jc w:val="both"/>
              <w:rPr>
                <w:rFonts w:ascii="Times New Roman" w:hAnsi="Times New Roman" w:eastAsia="Calibri" w:cs="Times New Roman"/>
                <w:color w:val="00000A"/>
                <w:sz w:val="20"/>
                <w:szCs w:val="20"/>
                <w:lang w:eastAsia="en-US"/>
              </w:rPr>
            </w:pPr>
            <w:r>
              <w:rPr>
                <w:rFonts w:eastAsia="Calibri" w:cs="Times New Roman" w:ascii="Times New Roman" w:hAnsi="Times New Roman"/>
                <w:color w:val="00000A"/>
                <w:sz w:val="20"/>
                <w:szCs w:val="20"/>
                <w:lang w:eastAsia="en-US"/>
              </w:rPr>
              <w:t xml:space="preserve">12/2015: Auditoria na folha de pagamento </w:t>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Default"/>
              <w:rPr>
                <w:rFonts w:ascii="Times New Roman" w:hAnsi="Times New Roman" w:eastAsia="Calibri" w:cs="Times New Roman"/>
                <w:color w:val="00000A"/>
                <w:sz w:val="20"/>
                <w:szCs w:val="20"/>
                <w:lang w:eastAsia="en-US"/>
              </w:rPr>
            </w:pPr>
            <w:r>
              <w:rPr>
                <w:rFonts w:eastAsia="Calibri" w:cs="Times New Roman" w:ascii="Times New Roman" w:hAnsi="Times New Roman"/>
                <w:color w:val="00000A"/>
                <w:sz w:val="20"/>
                <w:szCs w:val="20"/>
                <w:lang w:eastAsia="en-US"/>
              </w:rPr>
              <w:t>02/02 a 30/07/15</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Default"/>
              <w:rPr>
                <w:rFonts w:ascii="Times New Roman" w:hAnsi="Times New Roman" w:eastAsia="Calibri" w:cs="Times New Roman"/>
                <w:color w:val="00000A"/>
                <w:sz w:val="20"/>
                <w:szCs w:val="20"/>
                <w:lang w:eastAsia="en-US"/>
              </w:rPr>
            </w:pPr>
            <w:r>
              <w:rPr>
                <w:rFonts w:eastAsia="Calibri" w:cs="Times New Roman" w:ascii="Times New Roman" w:hAnsi="Times New Roman"/>
                <w:color w:val="00000A"/>
                <w:sz w:val="20"/>
                <w:szCs w:val="20"/>
                <w:lang w:eastAsia="en-US"/>
              </w:rPr>
              <w:t>Em atraso</w:t>
            </w:r>
          </w:p>
        </w:tc>
      </w:tr>
      <w:tr>
        <w:trPr/>
        <w:tc>
          <w:tcPr>
            <w:tcW w:w="55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Default"/>
              <w:jc w:val="both"/>
              <w:rPr>
                <w:rFonts w:ascii="Times New Roman" w:hAnsi="Times New Roman" w:eastAsia="Calibri" w:cs="Times New Roman"/>
                <w:color w:val="00000A"/>
                <w:sz w:val="20"/>
                <w:szCs w:val="20"/>
                <w:lang w:eastAsia="en-US"/>
              </w:rPr>
            </w:pPr>
            <w:r>
              <w:rPr>
                <w:rFonts w:eastAsia="Calibri" w:cs="Times New Roman" w:ascii="Times New Roman" w:hAnsi="Times New Roman"/>
                <w:color w:val="00000A"/>
                <w:sz w:val="20"/>
                <w:szCs w:val="20"/>
                <w:lang w:eastAsia="en-US"/>
              </w:rPr>
              <w:t xml:space="preserve">15/2015: Análise da sustentabilidade e eficiência no uso racional de recursos naturais </w:t>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Default"/>
              <w:rPr>
                <w:rFonts w:ascii="Times New Roman" w:hAnsi="Times New Roman" w:eastAsia="Calibri" w:cs="Times New Roman"/>
                <w:color w:val="00000A"/>
                <w:sz w:val="20"/>
                <w:szCs w:val="20"/>
                <w:lang w:eastAsia="en-US"/>
              </w:rPr>
            </w:pPr>
            <w:r>
              <w:rPr>
                <w:rFonts w:eastAsia="Calibri" w:cs="Times New Roman" w:ascii="Times New Roman" w:hAnsi="Times New Roman"/>
                <w:color w:val="00000A"/>
                <w:sz w:val="20"/>
                <w:szCs w:val="20"/>
                <w:lang w:eastAsia="en-US"/>
              </w:rPr>
              <w:t>09/02 a 01/07/15</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Default"/>
              <w:rPr>
                <w:rFonts w:ascii="Times New Roman" w:hAnsi="Times New Roman" w:eastAsia="Calibri" w:cs="Times New Roman"/>
                <w:color w:val="00000A"/>
                <w:sz w:val="20"/>
                <w:szCs w:val="20"/>
                <w:lang w:eastAsia="en-US"/>
              </w:rPr>
            </w:pPr>
            <w:r>
              <w:rPr>
                <w:rFonts w:eastAsia="Calibri" w:cs="Times New Roman" w:ascii="Times New Roman" w:hAnsi="Times New Roman"/>
                <w:color w:val="00000A"/>
                <w:sz w:val="20"/>
                <w:szCs w:val="20"/>
                <w:lang w:eastAsia="en-US"/>
              </w:rPr>
              <w:t>Cancelada</w:t>
            </w:r>
          </w:p>
        </w:tc>
      </w:tr>
      <w:tr>
        <w:trPr/>
        <w:tc>
          <w:tcPr>
            <w:tcW w:w="55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Standard"/>
              <w:jc w:val="both"/>
              <w:rPr>
                <w:rFonts w:eastAsia="Calibri" w:cs="Times New Roman"/>
                <w:sz w:val="20"/>
                <w:szCs w:val="20"/>
              </w:rPr>
            </w:pPr>
            <w:r>
              <w:rPr>
                <w:rFonts w:eastAsia="Calibri" w:cs="Times New Roman"/>
                <w:sz w:val="20"/>
                <w:szCs w:val="20"/>
              </w:rPr>
              <w:t>17/2015: Avaliação simplificada de riscos da UFRPE, em conformidade ao Acórdão n.3388/2013-Plenário (item 9.1.5)</w:t>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sz w:val="20"/>
                <w:szCs w:val="20"/>
              </w:rPr>
            </w:pPr>
            <w:r>
              <w:rPr>
                <w:rFonts w:eastAsia="Calibri" w:cs="Times New Roman"/>
                <w:sz w:val="20"/>
                <w:szCs w:val="20"/>
              </w:rPr>
              <w:t>02/02 a 30/06/15</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Default"/>
              <w:rPr>
                <w:rFonts w:ascii="Times New Roman" w:hAnsi="Times New Roman" w:eastAsia="Calibri" w:cs="Times New Roman"/>
                <w:color w:val="00000A"/>
                <w:sz w:val="20"/>
                <w:szCs w:val="20"/>
                <w:lang w:eastAsia="en-US"/>
              </w:rPr>
            </w:pPr>
            <w:r>
              <w:rPr>
                <w:rFonts w:eastAsia="Calibri" w:cs="Times New Roman" w:ascii="Times New Roman" w:hAnsi="Times New Roman"/>
                <w:color w:val="00000A"/>
                <w:sz w:val="20"/>
                <w:szCs w:val="20"/>
                <w:lang w:eastAsia="en-US"/>
              </w:rPr>
              <w:t>Cancelada</w:t>
            </w:r>
          </w:p>
        </w:tc>
      </w:tr>
    </w:tbl>
    <w:p>
      <w:pPr>
        <w:pStyle w:val="Standard"/>
        <w:jc w:val="both"/>
        <w:rPr/>
      </w:pPr>
      <w:r>
        <w:rPr/>
      </w:r>
    </w:p>
    <w:p>
      <w:pPr>
        <w:pStyle w:val="Standard"/>
        <w:jc w:val="both"/>
        <w:rPr/>
      </w:pPr>
      <w:r>
        <w:rPr/>
        <w:t xml:space="preserve">Salienta-se que a Atividade nº </w:t>
      </w:r>
      <w:r>
        <w:rPr>
          <w:rFonts w:eastAsia="Calibri" w:cs="Times New Roman"/>
          <w:sz w:val="22"/>
          <w:szCs w:val="22"/>
        </w:rPr>
        <w:t>17/2015: Avaliação simplificada de riscos da UFRPE, em conformidade ao Acórdão n.3388/2013-Plenário (item 9.1.5) foi incluída por solicitação da Controladoria Geral da União, quando da análise prévia do PAINT/2015, em 22/1/2014 (Relatório nº 201411600), em decorrência da constatação de inexistência na UFRPE de avaliação de riscos realizadas pelo gestor e/ou pela AUDIN e deveria subsidiar a definição do plano de auditoria interna da UFRPE do exercício de 2016.</w:t>
      </w:r>
    </w:p>
    <w:p>
      <w:pPr>
        <w:pStyle w:val="Contedodatabela"/>
        <w:jc w:val="both"/>
        <w:rPr/>
      </w:pPr>
      <w:r>
        <w:rPr/>
      </w:r>
    </w:p>
    <w:p>
      <w:pPr>
        <w:pStyle w:val="Contedodatabela"/>
        <w:jc w:val="both"/>
        <w:rPr/>
      </w:pPr>
      <w:r>
        <w:rPr/>
        <w:t xml:space="preserve">As atividades nº </w:t>
      </w:r>
      <w:r>
        <w:rPr>
          <w:rFonts w:eastAsia="Calibri" w:cs="Times New Roman"/>
          <w:sz w:val="22"/>
          <w:szCs w:val="22"/>
          <w:lang w:eastAsia="en-US"/>
        </w:rPr>
        <w:t xml:space="preserve">13/2015: Avaliação da situação das transferências da UFRPE para a Fundação de Apoio (FADURPE) e nº 14/2015: Avaliação da regularidade dos processos licitatórios realizados pela UFRPE, ainda estão no prazo de realização (até 30/11/2015) e o Evento do </w:t>
      </w:r>
      <w:r>
        <w:rPr/>
        <w:t xml:space="preserve">Dia do Auditor Interno (Ação de </w:t>
      </w:r>
      <w:r>
        <w:rPr>
          <w:bCs/>
        </w:rPr>
        <w:t>Desenvolvimento Institucional) será realizado no d</w:t>
      </w:r>
      <w:r>
        <w:rPr/>
        <w:t>ia 20/11/2015.</w:t>
      </w:r>
    </w:p>
    <w:p>
      <w:pPr>
        <w:pStyle w:val="Normal"/>
        <w:spacing w:lineRule="auto" w:line="240" w:beforeAutospacing="1" w:afterAutospacing="1"/>
        <w:contextualSpacing/>
        <w:jc w:val="both"/>
        <w:rPr>
          <w:color w:val="FFFFFF" w:themeColor="background1"/>
          <w:spacing w:val="0"/>
          <w:sz w:val="2"/>
          <w:szCs w:val="2"/>
        </w:rPr>
      </w:pPr>
      <w:r>
        <w:rPr>
          <w:color w:val="FFFFFF" w:themeColor="background1"/>
          <w:spacing w:val="0"/>
          <w:sz w:val="2"/>
          <w:szCs w:val="2"/>
        </w:rPr>
        <w:t>##/Fato##</w:t>
      </w:r>
    </w:p>
    <w:p>
      <w:pPr>
        <w:pStyle w:val="Normal"/>
        <w:spacing w:lineRule="auto" w:line="240" w:before="0" w:after="0"/>
        <w:rPr>
          <w:rFonts w:ascii="Arial" w:hAnsi="Arial" w:cs="Arial"/>
          <w:b/>
          <w:b/>
        </w:rPr>
      </w:pPr>
      <w:r>
        <w:rPr>
          <w:b/>
        </w:rPr>
        <w:t>Causa</w:t>
      </w:r>
    </w:p>
    <w:p>
      <w:pPr>
        <w:pStyle w:val="Normal"/>
        <w:spacing w:lineRule="auto" w:line="240" w:before="0" w:after="0"/>
        <w:rPr>
          <w:b/>
          <w:b/>
        </w:rPr>
      </w:pPr>
      <w:r>
        <w:rPr>
          <w:b/>
        </w:rPr>
      </w:r>
    </w:p>
    <w:p>
      <w:pPr>
        <w:pStyle w:val="Normal"/>
        <w:jc w:val="both"/>
        <w:rPr>
          <w:lang w:eastAsia="pt-BR"/>
        </w:rPr>
      </w:pPr>
      <w:r>
        <w:rPr>
          <w:lang w:eastAsia="pt-BR"/>
        </w:rPr>
        <w:t>Fragilidades nos controles internos da UFRPE no tocante ao planejamento, à execução e à coordenação das ações de controle da unidade de auditoria interna. Além disso, verificou-se falhas nas ações de coordenação de execução das ações, em especial no que se refere à priorização da realização de novas auditorias.</w:t>
      </w:r>
    </w:p>
    <w:p>
      <w:pPr>
        <w:pStyle w:val="Normal"/>
        <w:jc w:val="both"/>
        <w:rPr>
          <w:lang w:eastAsia="pt-BR"/>
        </w:rPr>
      </w:pPr>
      <w:r>
        <w:rPr>
          <w:lang w:eastAsia="pt-BR"/>
        </w:rPr>
        <w:t>O Auditor Titular da AUDIN/UFRPE não coordenou de forma adequada a execução das ações da unidade no exercício de 2015, de modo a garantir um cumprimento razoável das ações de auditoria, adaptando os trabalhos planejados em função da ocorrência de fatos imprevistos.</w:t>
      </w:r>
    </w:p>
    <w:p>
      <w:pPr>
        <w:pStyle w:val="Normal"/>
        <w:spacing w:lineRule="auto" w:line="240" w:beforeAutospacing="1" w:afterAutospacing="1"/>
        <w:contextualSpacing/>
        <w:jc w:val="both"/>
        <w:rPr>
          <w:color w:val="FFFFFF" w:themeColor="background1"/>
          <w:spacing w:val="0"/>
          <w:sz w:val="2"/>
          <w:szCs w:val="2"/>
        </w:rPr>
      </w:pPr>
      <w:r>
        <w:rPr>
          <w:color w:val="FFFFFF" w:themeColor="background1"/>
          <w:spacing w:val="0"/>
          <w:sz w:val="2"/>
          <w:szCs w:val="2"/>
        </w:rPr>
        <w:t>##/Causa##</w:t>
      </w:r>
    </w:p>
    <w:p>
      <w:pPr>
        <w:pStyle w:val="Normal"/>
        <w:spacing w:lineRule="auto" w:line="240" w:before="0" w:after="0"/>
        <w:rPr>
          <w:rFonts w:ascii="Arial" w:hAnsi="Arial" w:cs="Arial"/>
          <w:b/>
          <w:b/>
        </w:rPr>
      </w:pPr>
      <w:r>
        <w:rPr>
          <w:b/>
        </w:rPr>
        <w:t>Manifestação da Unidade Examinada</w:t>
      </w:r>
    </w:p>
    <w:p>
      <w:pPr>
        <w:pStyle w:val="Normal"/>
        <w:spacing w:lineRule="auto" w:line="240" w:before="0" w:after="0"/>
        <w:rPr>
          <w:b/>
          <w:b/>
        </w:rPr>
      </w:pPr>
      <w:r>
        <w:rPr>
          <w:b/>
        </w:rPr>
      </w:r>
    </w:p>
    <w:p>
      <w:pPr>
        <w:pStyle w:val="Textbody"/>
        <w:rPr>
          <w:lang w:eastAsia="pt-BR" w:bidi="ar-SA"/>
        </w:rPr>
      </w:pPr>
      <w:r>
        <w:rPr>
          <w:rFonts w:cs="Times New Roman"/>
          <w:lang w:eastAsia="pt-BR" w:bidi="ar-SA"/>
        </w:rPr>
        <w:t xml:space="preserve">O Auditor Titular apresentou as seguintes </w:t>
      </w:r>
      <w:r>
        <w:rPr>
          <w:lang w:eastAsia="pt-BR" w:bidi="ar-SA"/>
        </w:rPr>
        <w:t>justificativas, por meio do Ofício nº 13/2015-AUDIN, de 16/10/2015:</w:t>
      </w:r>
    </w:p>
    <w:p>
      <w:pPr>
        <w:pStyle w:val="Contedodatabela"/>
        <w:jc w:val="both"/>
        <w:rPr/>
      </w:pPr>
      <w:r>
        <w:rPr>
          <w:lang w:eastAsia="pt-BR" w:bidi="ar-SA"/>
        </w:rPr>
        <w:t>Atividade nº 10/2015</w:t>
      </w:r>
      <w:r>
        <w:rPr/>
        <w:t>: Auditoria em obras, processos licitatórios correspondentes e avaliação dos critérios de sustentabilidade ambiental das obras auditadas.</w:t>
      </w:r>
    </w:p>
    <w:p>
      <w:pPr>
        <w:pStyle w:val="Normal"/>
        <w:spacing w:lineRule="auto" w:line="240" w:beforeAutospacing="1" w:afterAutospacing="1"/>
        <w:contextualSpacing/>
        <w:jc w:val="both"/>
        <w:rPr>
          <w:rFonts w:ascii="Liberation Serif" w:hAnsi="Liberation Serif" w:eastAsia="Times New Roman"/>
          <w:i/>
          <w:i/>
          <w:color w:val="000000"/>
        </w:rPr>
      </w:pPr>
      <w:r>
        <w:rPr>
          <w:i/>
        </w:rPr>
        <w:t>“</w:t>
      </w:r>
      <w:r>
        <w:rPr>
          <w:i/>
        </w:rPr>
        <w:t xml:space="preserve">Está na fase de planejamento. A atividade foi reprogramada para o segundo semestre de 2015, haja vista a </w:t>
      </w:r>
      <w:r>
        <w:rPr>
          <w:rFonts w:eastAsia="Times New Roman" w:ascii="Liberation Serif" w:hAnsi="Liberation Serif"/>
          <w:i/>
          <w:color w:val="000000"/>
        </w:rPr>
        <w:t>greve dos servidores da UFRPE no período 28/05/2015 a 13/10/2015. No período previsto no PAINT, o servidor estava em apoio a chefia em relação ao Relatório de Gestão, RAINT e diligências da CGU, que foi intensificada devido à escolha da UFRPE em prestar contas ao TCU. Registra-se que o Auditor Titular ficou afastado no período de 28/04/2015 a 27/05/2015 para tratamento de saúde, sendo substituído pelo Auditor Adjunto (servidor responsável pela execução da atividade.”</w:t>
      </w:r>
    </w:p>
    <w:p>
      <w:pPr>
        <w:pStyle w:val="Textbody"/>
        <w:rPr>
          <w:lang w:eastAsia="pt-BR" w:bidi="ar-SA"/>
        </w:rPr>
      </w:pPr>
      <w:r>
        <w:rPr>
          <w:lang w:eastAsia="pt-BR" w:bidi="ar-SA"/>
        </w:rPr>
        <w:t xml:space="preserve">Atividade nº </w:t>
      </w:r>
      <w:r>
        <w:rPr/>
        <w:t>12/2015: Auditoria na folha de pagamento.</w:t>
      </w:r>
    </w:p>
    <w:p>
      <w:pPr>
        <w:pStyle w:val="Textbody"/>
        <w:jc w:val="both"/>
        <w:rPr>
          <w:rFonts w:ascii="Liberation Serif" w:hAnsi="Liberation Serif" w:eastAsia="Times New Roman" w:cs="Times New Roman"/>
          <w:i/>
          <w:i/>
          <w:color w:val="000000"/>
        </w:rPr>
      </w:pPr>
      <w:r>
        <w:rPr>
          <w:i/>
        </w:rPr>
        <w:t>“</w:t>
      </w:r>
      <w:r>
        <w:rPr>
          <w:i/>
        </w:rPr>
        <w:t xml:space="preserve">Aguardando respostas às solicitações de auditoria para análise da manifestação do gestor e fechamento de relatório. A atividade foi reprogramada para o segundo semestre, haja vista </w:t>
      </w:r>
      <w:r>
        <w:rPr>
          <w:rFonts w:eastAsia="Times New Roman" w:cs="Times New Roman" w:ascii="Liberation Serif" w:hAnsi="Liberation Serif"/>
          <w:i/>
          <w:color w:val="000000"/>
        </w:rPr>
        <w:t>greve dos servidores da UFRPE no período 28/05/2015 a 13/10/2015. No período previsto no PAINT, a servidora estava em apoio a chefia em relação ao Relatório de Gestão, RAINT e diligências da CGU que foi intensificada devido a escolha da UFRPE em prestar contas ao TCU, bem como atividade de acompanhamento das recomendações expedidas pela AUDIN em exercícios anteriores.”</w:t>
      </w:r>
    </w:p>
    <w:p>
      <w:pPr>
        <w:pStyle w:val="Textbody"/>
        <w:jc w:val="both"/>
        <w:rPr/>
      </w:pPr>
      <w:r>
        <w:rPr>
          <w:lang w:eastAsia="pt-BR" w:bidi="ar-SA"/>
        </w:rPr>
        <w:t xml:space="preserve">Atividade nº </w:t>
      </w:r>
      <w:r>
        <w:rPr/>
        <w:t>15/2015: Análise da sustentabilidade e eficiência no uso racional de recursos naturais.</w:t>
      </w:r>
    </w:p>
    <w:p>
      <w:pPr>
        <w:pStyle w:val="Textbody"/>
        <w:jc w:val="both"/>
        <w:rPr>
          <w:rFonts w:ascii="Liberation Serif" w:hAnsi="Liberation Serif" w:eastAsia="Times New Roman" w:cs="Times New Roman"/>
          <w:i/>
          <w:i/>
          <w:color w:val="000000"/>
        </w:rPr>
      </w:pPr>
      <w:r>
        <w:rPr/>
        <w:t>“</w:t>
      </w:r>
      <w:r>
        <w:rPr>
          <w:i/>
        </w:rPr>
        <w:t xml:space="preserve">Atividade cancelada, prejudicada pela greve dos Técnicos Administrativos das IFES </w:t>
      </w:r>
      <w:r>
        <w:rPr>
          <w:rFonts w:eastAsia="Times New Roman" w:cs="Times New Roman" w:ascii="Liberation Serif" w:hAnsi="Liberation Serif"/>
          <w:i/>
          <w:color w:val="000000"/>
        </w:rPr>
        <w:t>no período 28/05/2015 a 13/10/2015.</w:t>
      </w:r>
      <w:r>
        <w:rPr>
          <w:i/>
        </w:rPr>
        <w:t xml:space="preserve"> A atividade será reprogramada para o exercício 2016.</w:t>
      </w:r>
      <w:r>
        <w:rPr/>
        <w:t>”</w:t>
      </w:r>
    </w:p>
    <w:p>
      <w:pPr>
        <w:pStyle w:val="Textbody"/>
        <w:jc w:val="both"/>
        <w:rPr/>
      </w:pPr>
      <w:r>
        <w:rPr>
          <w:lang w:eastAsia="pt-BR" w:bidi="ar-SA"/>
        </w:rPr>
        <w:t xml:space="preserve">Atividade nº </w:t>
      </w:r>
      <w:r>
        <w:rPr/>
        <w:t>17/2015: Avaliação simplificada de riscos da UFRPE, em conformidade ao Acórdão n. 3388/2013-Plenário(item 9.1.5).</w:t>
      </w:r>
    </w:p>
    <w:p>
      <w:pPr>
        <w:pStyle w:val="Textbody"/>
        <w:jc w:val="both"/>
        <w:rPr>
          <w:rFonts w:ascii="Liberation Serif" w:hAnsi="Liberation Serif" w:eastAsia="Times New Roman" w:cs="Times New Roman"/>
          <w:i/>
          <w:i/>
          <w:color w:val="000000"/>
        </w:rPr>
      </w:pPr>
      <w:r>
        <w:rPr>
          <w:i/>
        </w:rPr>
        <w:t>“</w:t>
      </w:r>
      <w:r>
        <w:rPr>
          <w:i/>
        </w:rPr>
        <w:t xml:space="preserve">Atividade cancelada, prejudicada pela greve dos Técnicos Administrativos das IFES </w:t>
      </w:r>
      <w:r>
        <w:rPr>
          <w:rFonts w:eastAsia="Times New Roman" w:cs="Times New Roman" w:ascii="Liberation Serif" w:hAnsi="Liberation Serif"/>
          <w:i/>
          <w:color w:val="000000"/>
        </w:rPr>
        <w:t>no período 28/05/2015 a 13/05/2015.”</w:t>
      </w:r>
    </w:p>
    <w:p>
      <w:pPr>
        <w:pStyle w:val="Normal"/>
        <w:spacing w:lineRule="auto" w:line="240" w:beforeAutospacing="1" w:afterAutospacing="1"/>
        <w:contextualSpacing/>
        <w:jc w:val="both"/>
        <w:rPr>
          <w:color w:val="FFFFFF" w:themeColor="background1"/>
          <w:spacing w:val="0"/>
          <w:sz w:val="2"/>
          <w:szCs w:val="2"/>
        </w:rPr>
      </w:pPr>
      <w:r>
        <w:rPr/>
        <w:t xml:space="preserve"> </w:t>
      </w:r>
      <w:r>
        <w:rPr>
          <w:color w:val="FFFFFF" w:themeColor="background1"/>
          <w:spacing w:val="0"/>
          <w:sz w:val="2"/>
          <w:szCs w:val="2"/>
        </w:rPr>
        <w:t>##/ManifestacaoUnidadeExaminada##</w:t>
      </w:r>
    </w:p>
    <w:p>
      <w:pPr>
        <w:pStyle w:val="Normal"/>
        <w:spacing w:lineRule="auto" w:line="240" w:before="0" w:after="0"/>
        <w:rPr>
          <w:rFonts w:ascii="Arial" w:hAnsi="Arial" w:cs="Arial"/>
          <w:b/>
          <w:b/>
        </w:rPr>
      </w:pPr>
      <w:r>
        <w:rPr>
          <w:b/>
        </w:rPr>
        <w:t>Análise do Controle Interno</w:t>
      </w:r>
    </w:p>
    <w:p>
      <w:pPr>
        <w:pStyle w:val="Normal"/>
        <w:spacing w:lineRule="auto" w:line="240" w:before="0" w:after="0"/>
        <w:rPr>
          <w:b/>
          <w:b/>
        </w:rPr>
      </w:pPr>
      <w:r>
        <w:rPr>
          <w:b/>
        </w:rPr>
      </w:r>
    </w:p>
    <w:p>
      <w:pPr>
        <w:pStyle w:val="Textbody"/>
        <w:jc w:val="both"/>
        <w:rPr>
          <w:rFonts w:eastAsia="Times New Roman" w:cs="Times New Roman"/>
          <w:color w:val="000000"/>
        </w:rPr>
      </w:pPr>
      <w:r>
        <w:rPr>
          <w:rFonts w:cs="Times New Roman"/>
          <w:lang w:eastAsia="pt-BR" w:bidi="ar-SA"/>
        </w:rPr>
        <w:t xml:space="preserve">Apesar de ter sido acatada a justificativa de que os afastamentos legais dos servidores e </w:t>
      </w:r>
      <w:r>
        <w:rPr>
          <w:rFonts w:cs="Times New Roman"/>
        </w:rPr>
        <w:t xml:space="preserve">greve dos Técnicos Administrativos das IFES, </w:t>
      </w:r>
      <w:r>
        <w:rPr>
          <w:rFonts w:eastAsia="Times New Roman" w:cs="Times New Roman"/>
          <w:color w:val="000000"/>
        </w:rPr>
        <w:t>no período 28/05/2015 a 13/05/2015, são fatos supervenientes para os quais o Gestor não deve ser responsabilizado, e que podem trazer prejuízo na execução do PAINT/2015, outras situações também prejudicaram sua efetiva execução.</w:t>
      </w:r>
    </w:p>
    <w:p>
      <w:pPr>
        <w:pStyle w:val="Normal"/>
        <w:spacing w:lineRule="auto" w:line="240" w:beforeAutospacing="1" w:afterAutospacing="1"/>
        <w:contextualSpacing/>
        <w:jc w:val="both"/>
        <w:rPr/>
      </w:pPr>
      <w:r>
        <w:rPr>
          <w:lang w:eastAsia="pt-BR"/>
        </w:rPr>
        <w:t xml:space="preserve">Verificou-se que a AUDIN concentrou todos os esforços na realização de algumas atividades do PAINT/2015, conforme detalhado a seguir, o que também pode ter prejudicado a realização das ações de controle previstas. Observa-se que algumas atividades foram realizadas por todos os servidores, tendo inclusive um tempo de realização muito superior ao previsto no PAINT/2015 (Atividades nºs </w:t>
      </w:r>
      <w:r>
        <w:rPr/>
        <w:t>01/2015, 03/2015, 09/2015 e 11/2015)</w:t>
      </w:r>
    </w:p>
    <w:p>
      <w:pPr>
        <w:pStyle w:val="Textbody"/>
        <w:jc w:val="both"/>
        <w:rPr>
          <w:rFonts w:ascii="Liberation Serif" w:hAnsi="Liberation Serif" w:eastAsia="Times New Roman" w:cs="Times New Roman"/>
          <w:color w:val="000000"/>
        </w:rPr>
      </w:pPr>
      <w:r>
        <w:rPr>
          <w:lang w:eastAsia="pt-BR" w:bidi="ar-SA"/>
        </w:rPr>
        <w:t xml:space="preserve">Apesar de ter sido acatada a justificativa de que os afastamentos legais dos servidores e </w:t>
      </w:r>
      <w:r>
        <w:rPr/>
        <w:t xml:space="preserve">greve dos Técnicos Administrativos das IFES, </w:t>
      </w:r>
      <w:r>
        <w:rPr>
          <w:rFonts w:eastAsia="Times New Roman" w:cs="Times New Roman" w:ascii="Liberation Serif" w:hAnsi="Liberation Serif"/>
          <w:color w:val="000000"/>
        </w:rPr>
        <w:t>no período 28/05/2015 a 13/05/2015, são fatos supervenientes para os quais o Gestor não deve ser responsabilizado, e que podem trazer prejuízo na execução do PAINT/2015, outras situações também prejudicaram sua efetiva execução.</w:t>
      </w:r>
    </w:p>
    <w:p>
      <w:pPr>
        <w:pStyle w:val="Textbody"/>
        <w:jc w:val="both"/>
        <w:rPr>
          <w:sz w:val="22"/>
          <w:szCs w:val="22"/>
        </w:rPr>
      </w:pPr>
      <w:r>
        <w:rPr>
          <w:lang w:eastAsia="pt-BR" w:bidi="ar-SA"/>
        </w:rPr>
        <w:t xml:space="preserve">Verificou-se que a AUDIN concentrou todos os esforços na realização de algumas atividades do PAINT/2015, conforme detalhado a seguir, o que também pode ter prejudicado a realização das ações de controle previstas. Observa-se que algumas atividades foram realizadas por todos os servidores, tendo inclusive um tempo de realização muito superior ao previsto no PAINT/2015 (Atividades nºs </w:t>
      </w:r>
      <w:r>
        <w:rPr>
          <w:sz w:val="22"/>
          <w:szCs w:val="22"/>
        </w:rPr>
        <w:t>01/2015, 03/2015, 09/2015 e 11/2015).</w:t>
      </w:r>
    </w:p>
    <w:p>
      <w:pPr>
        <w:pStyle w:val="Textbody"/>
        <w:jc w:val="both"/>
        <w:rPr>
          <w:rFonts w:cs="Times New Roman"/>
        </w:rPr>
      </w:pPr>
      <w:r>
        <w:rPr>
          <w:rFonts w:cs="Times New Roman"/>
        </w:rPr>
      </w:r>
    </w:p>
    <w:tbl>
      <w:tblPr>
        <w:tblW w:w="8520" w:type="dxa"/>
        <w:jc w:val="left"/>
        <w:tblInd w:w="55" w:type="dxa"/>
        <w:tblBorders/>
        <w:tblCellMar>
          <w:top w:w="0" w:type="dxa"/>
          <w:left w:w="70" w:type="dxa"/>
          <w:bottom w:w="0" w:type="dxa"/>
          <w:right w:w="70" w:type="dxa"/>
        </w:tblCellMar>
        <w:tblLook w:noVBand="1" w:val="04a0" w:noHBand="0" w:lastColumn="0" w:firstColumn="1" w:lastRow="0" w:firstRow="1"/>
      </w:tblPr>
      <w:tblGrid>
        <w:gridCol w:w="5969"/>
        <w:gridCol w:w="2550"/>
      </w:tblGrid>
      <w:tr>
        <w:trPr>
          <w:trHeight w:val="300" w:hRule="atLeast"/>
        </w:trPr>
        <w:tc>
          <w:tcPr>
            <w:tcW w:w="5969" w:type="dxa"/>
            <w:tcBorders/>
            <w:shd w:color="auto" w:fill="auto" w:val="clear"/>
            <w:vAlign w:val="bottom"/>
          </w:tcPr>
          <w:p>
            <w:pPr>
              <w:pStyle w:val="Normal"/>
              <w:pBdr>
                <w:top w:val="single" w:sz="4" w:space="1" w:color="00000A"/>
                <w:left w:val="single" w:sz="4" w:space="1" w:color="00000A"/>
                <w:bottom w:val="single" w:sz="4" w:space="1" w:color="00000A"/>
                <w:right w:val="single" w:sz="4" w:space="1" w:color="00000A"/>
              </w:pBdr>
              <w:rPr>
                <w:rFonts w:eastAsia="Times New Roman"/>
                <w:bCs/>
                <w:color w:val="000000"/>
                <w:sz w:val="20"/>
                <w:szCs w:val="20"/>
                <w:lang w:eastAsia="pt-BR"/>
              </w:rPr>
            </w:pPr>
            <w:r>
              <w:rPr>
                <w:rFonts w:eastAsia="Times New Roman"/>
                <w:bCs/>
                <w:color w:val="000000"/>
                <w:sz w:val="20"/>
                <w:szCs w:val="20"/>
                <w:lang w:eastAsia="pt-BR"/>
              </w:rPr>
              <w:t>Atividade</w:t>
            </w:r>
          </w:p>
        </w:tc>
        <w:tc>
          <w:tcPr>
            <w:tcW w:w="2550" w:type="dxa"/>
            <w:tcBorders/>
            <w:shd w:color="auto" w:fill="auto" w:val="clear"/>
            <w:vAlign w:val="bottom"/>
          </w:tcPr>
          <w:p>
            <w:pPr>
              <w:pStyle w:val="Normal"/>
              <w:pBdr>
                <w:top w:val="single" w:sz="4" w:space="1" w:color="00000A"/>
                <w:left w:val="single" w:sz="4" w:space="1" w:color="00000A"/>
                <w:bottom w:val="single" w:sz="4" w:space="1" w:color="00000A"/>
                <w:right w:val="single" w:sz="4" w:space="1" w:color="00000A"/>
              </w:pBdr>
              <w:jc w:val="right"/>
              <w:rPr>
                <w:rFonts w:eastAsia="Times New Roman"/>
                <w:bCs/>
                <w:color w:val="000000"/>
                <w:sz w:val="20"/>
                <w:szCs w:val="20"/>
                <w:lang w:eastAsia="pt-BR"/>
              </w:rPr>
            </w:pPr>
            <w:r>
              <w:rPr>
                <w:rFonts w:eastAsia="Times New Roman"/>
                <w:bCs/>
                <w:color w:val="000000"/>
                <w:sz w:val="20"/>
                <w:szCs w:val="20"/>
                <w:lang w:eastAsia="pt-BR"/>
              </w:rPr>
              <w:t>Tempo de realização</w:t>
            </w:r>
          </w:p>
        </w:tc>
      </w:tr>
      <w:tr>
        <w:trPr>
          <w:trHeight w:val="300" w:hRule="atLeast"/>
        </w:trPr>
        <w:tc>
          <w:tcPr>
            <w:tcW w:w="5969" w:type="dxa"/>
            <w:tcBorders>
              <w:bottom w:val="single" w:sz="4" w:space="0" w:color="00000A"/>
              <w:insideH w:val="single" w:sz="4" w:space="0" w:color="00000A"/>
            </w:tcBorders>
            <w:shd w:color="auto" w:fill="auto" w:val="clear"/>
            <w:vAlign w:val="bottom"/>
          </w:tcPr>
          <w:p>
            <w:pPr>
              <w:pStyle w:val="Normal"/>
              <w:pBdr>
                <w:top w:val="single" w:sz="4" w:space="1" w:color="00000A"/>
                <w:left w:val="single" w:sz="4" w:space="1" w:color="00000A"/>
                <w:bottom w:val="single" w:sz="4" w:space="1" w:color="00000A"/>
                <w:right w:val="single" w:sz="4" w:space="1" w:color="00000A"/>
              </w:pBdr>
              <w:rPr>
                <w:rFonts w:eastAsia="Times New Roman"/>
                <w:bCs/>
                <w:color w:val="000000"/>
                <w:sz w:val="20"/>
                <w:szCs w:val="20"/>
                <w:lang w:eastAsia="pt-BR"/>
              </w:rPr>
            </w:pPr>
            <w:r>
              <w:rPr>
                <w:rFonts w:eastAsia="Times New Roman"/>
                <w:bCs/>
                <w:color w:val="000000"/>
                <w:sz w:val="20"/>
                <w:szCs w:val="20"/>
                <w:lang w:eastAsia="pt-BR"/>
              </w:rPr>
              <w:t>01 - Elaboração do RAINT 2014</w:t>
            </w:r>
          </w:p>
        </w:tc>
        <w:tc>
          <w:tcPr>
            <w:tcW w:w="2550" w:type="dxa"/>
            <w:tcBorders>
              <w:bottom w:val="single" w:sz="4" w:space="0" w:color="00000A"/>
              <w:insideH w:val="single" w:sz="4" w:space="0" w:color="00000A"/>
            </w:tcBorders>
            <w:shd w:color="auto" w:fill="auto" w:val="clear"/>
            <w:vAlign w:val="bottom"/>
          </w:tcPr>
          <w:p>
            <w:pPr>
              <w:pStyle w:val="Normal"/>
              <w:pBdr>
                <w:top w:val="single" w:sz="4" w:space="1" w:color="00000A"/>
                <w:left w:val="single" w:sz="4" w:space="1" w:color="00000A"/>
                <w:bottom w:val="single" w:sz="4" w:space="1" w:color="00000A"/>
                <w:right w:val="single" w:sz="4" w:space="1" w:color="00000A"/>
              </w:pBdr>
              <w:jc w:val="right"/>
              <w:rPr>
                <w:rFonts w:eastAsia="Times New Roman"/>
                <w:bCs/>
                <w:color w:val="000000"/>
                <w:sz w:val="20"/>
                <w:szCs w:val="20"/>
                <w:lang w:eastAsia="pt-BR"/>
              </w:rPr>
            </w:pPr>
            <w:r>
              <w:rPr>
                <w:rFonts w:eastAsia="Times New Roman"/>
                <w:bCs/>
                <w:color w:val="000000"/>
                <w:sz w:val="20"/>
                <w:szCs w:val="20"/>
                <w:lang w:eastAsia="pt-BR"/>
              </w:rPr>
              <w:t>316</w:t>
            </w:r>
          </w:p>
        </w:tc>
      </w:tr>
      <w:tr>
        <w:trPr>
          <w:trHeight w:val="300" w:hRule="atLeast"/>
        </w:trPr>
        <w:tc>
          <w:tcPr>
            <w:tcW w:w="5969" w:type="dxa"/>
            <w:tcBorders>
              <w:top w:val="single" w:sz="4" w:space="0" w:color="00000A"/>
              <w:right w:val="single" w:sz="4" w:space="0" w:color="00000A"/>
              <w:insideV w:val="single" w:sz="4" w:space="0" w:color="00000A"/>
            </w:tcBorders>
            <w:shd w:color="auto" w:fill="auto" w:val="clear"/>
            <w:vAlign w:val="bottom"/>
          </w:tcPr>
          <w:p>
            <w:pPr>
              <w:pStyle w:val="Normal"/>
              <w:pBdr>
                <w:left w:val="single" w:sz="4" w:space="1" w:color="00000A"/>
                <w:bottom w:val="single" w:sz="4" w:space="1" w:color="00000A"/>
                <w:right w:val="single" w:sz="4" w:space="1" w:color="00000A"/>
              </w:pBdr>
              <w:ind w:firstLine="200"/>
              <w:rPr>
                <w:rFonts w:eastAsia="Times New Roman"/>
                <w:color w:val="000000"/>
                <w:sz w:val="20"/>
                <w:szCs w:val="20"/>
                <w:lang w:eastAsia="pt-BR"/>
              </w:rPr>
            </w:pPr>
            <w:r>
              <w:rPr>
                <w:rFonts w:eastAsia="Times New Roman"/>
                <w:color w:val="000000"/>
                <w:sz w:val="20"/>
                <w:szCs w:val="20"/>
                <w:lang w:eastAsia="pt-BR"/>
              </w:rPr>
              <w:t>Participaram o Auditor Titular e os quatro servidores da AUDIN.</w:t>
            </w:r>
          </w:p>
        </w:tc>
        <w:tc>
          <w:tcPr>
            <w:tcW w:w="2550" w:type="dxa"/>
            <w:tcBorders>
              <w:top w:val="single" w:sz="4" w:space="0" w:color="00000A"/>
              <w:left w:val="single" w:sz="4" w:space="0" w:color="00000A"/>
            </w:tcBorders>
            <w:shd w:color="auto" w:fill="auto" w:val="clear"/>
            <w:tcMar>
              <w:left w:w="65" w:type="dxa"/>
            </w:tcMar>
            <w:vAlign w:val="bottom"/>
          </w:tcPr>
          <w:p>
            <w:pPr>
              <w:pStyle w:val="Normal"/>
              <w:pBdr>
                <w:top w:val="single" w:sz="4" w:space="1" w:color="00000A"/>
                <w:left w:val="single" w:sz="4" w:space="1" w:color="00000A"/>
                <w:bottom w:val="single" w:sz="4" w:space="1" w:color="00000A"/>
                <w:right w:val="single" w:sz="4" w:space="1" w:color="00000A"/>
              </w:pBdr>
              <w:jc w:val="right"/>
              <w:rPr>
                <w:rFonts w:eastAsia="Times New Roman"/>
                <w:color w:val="000000"/>
                <w:sz w:val="20"/>
                <w:szCs w:val="20"/>
                <w:lang w:eastAsia="pt-BR"/>
              </w:rPr>
            </w:pPr>
            <w:r>
              <w:rPr>
                <w:rFonts w:eastAsia="Times New Roman"/>
                <w:color w:val="000000"/>
                <w:sz w:val="20"/>
                <w:szCs w:val="20"/>
                <w:lang w:eastAsia="pt-BR"/>
              </w:rPr>
              <w:t>5 servidores</w:t>
            </w:r>
          </w:p>
        </w:tc>
      </w:tr>
      <w:tr>
        <w:trPr>
          <w:trHeight w:val="300" w:hRule="atLeast"/>
        </w:trPr>
        <w:tc>
          <w:tcPr>
            <w:tcW w:w="5969" w:type="dxa"/>
            <w:tcBorders/>
            <w:shd w:color="auto" w:fill="auto" w:val="clear"/>
            <w:vAlign w:val="bottom"/>
          </w:tcPr>
          <w:p>
            <w:pPr>
              <w:pStyle w:val="Normal"/>
              <w:pBdr>
                <w:top w:val="single" w:sz="4" w:space="1" w:color="00000A"/>
                <w:left w:val="single" w:sz="4" w:space="1" w:color="00000A"/>
                <w:bottom w:val="single" w:sz="4" w:space="1" w:color="00000A"/>
                <w:right w:val="single" w:sz="4" w:space="1" w:color="00000A"/>
              </w:pBdr>
              <w:rPr>
                <w:rFonts w:eastAsia="Times New Roman"/>
                <w:bCs/>
                <w:color w:val="000000"/>
                <w:sz w:val="20"/>
                <w:szCs w:val="20"/>
                <w:lang w:eastAsia="pt-BR"/>
              </w:rPr>
            </w:pPr>
            <w:r>
              <w:rPr>
                <w:rFonts w:eastAsia="Times New Roman"/>
                <w:bCs/>
                <w:color w:val="000000"/>
                <w:sz w:val="20"/>
                <w:szCs w:val="20"/>
                <w:lang w:eastAsia="pt-BR"/>
              </w:rPr>
              <w:t>03 - Elaboração Rel. Gestão 2014</w:t>
            </w:r>
          </w:p>
        </w:tc>
        <w:tc>
          <w:tcPr>
            <w:tcW w:w="2550" w:type="dxa"/>
            <w:tcBorders/>
            <w:shd w:color="auto" w:fill="auto" w:val="clear"/>
            <w:vAlign w:val="bottom"/>
          </w:tcPr>
          <w:p>
            <w:pPr>
              <w:pStyle w:val="Normal"/>
              <w:pBdr>
                <w:top w:val="single" w:sz="4" w:space="1" w:color="00000A"/>
                <w:left w:val="single" w:sz="4" w:space="1" w:color="00000A"/>
                <w:bottom w:val="single" w:sz="4" w:space="1" w:color="00000A"/>
                <w:right w:val="single" w:sz="4" w:space="1" w:color="00000A"/>
              </w:pBdr>
              <w:jc w:val="right"/>
              <w:rPr>
                <w:rFonts w:eastAsia="Times New Roman"/>
                <w:bCs/>
                <w:color w:val="000000"/>
                <w:sz w:val="20"/>
                <w:szCs w:val="20"/>
                <w:lang w:eastAsia="pt-BR"/>
              </w:rPr>
            </w:pPr>
            <w:r>
              <w:rPr>
                <w:rFonts w:eastAsia="Times New Roman"/>
                <w:bCs/>
                <w:color w:val="000000"/>
                <w:sz w:val="20"/>
                <w:szCs w:val="20"/>
                <w:lang w:eastAsia="pt-BR"/>
              </w:rPr>
              <w:t>854</w:t>
            </w:r>
          </w:p>
        </w:tc>
      </w:tr>
      <w:tr>
        <w:trPr>
          <w:trHeight w:val="300" w:hRule="atLeast"/>
        </w:trPr>
        <w:tc>
          <w:tcPr>
            <w:tcW w:w="5969" w:type="dxa"/>
            <w:tcBorders/>
            <w:shd w:color="auto" w:fill="auto" w:val="clear"/>
            <w:vAlign w:val="bottom"/>
          </w:tcPr>
          <w:p>
            <w:pPr>
              <w:pStyle w:val="Normal"/>
              <w:pBdr>
                <w:top w:val="single" w:sz="4" w:space="1" w:color="00000A"/>
                <w:left w:val="single" w:sz="4" w:space="1" w:color="00000A"/>
                <w:bottom w:val="single" w:sz="4" w:space="1" w:color="00000A"/>
                <w:right w:val="single" w:sz="4" w:space="1" w:color="00000A"/>
              </w:pBdr>
              <w:ind w:firstLine="200"/>
              <w:rPr>
                <w:rFonts w:eastAsia="Times New Roman"/>
                <w:color w:val="000000"/>
                <w:sz w:val="20"/>
                <w:szCs w:val="20"/>
                <w:lang w:eastAsia="pt-BR"/>
              </w:rPr>
            </w:pPr>
            <w:r>
              <w:rPr>
                <w:rFonts w:eastAsia="Times New Roman"/>
                <w:color w:val="000000"/>
                <w:sz w:val="20"/>
                <w:szCs w:val="20"/>
                <w:lang w:eastAsia="pt-BR"/>
              </w:rPr>
              <w:t>Participaram o Auditor Titular e os quatro servidores da AUDIN.</w:t>
            </w:r>
          </w:p>
        </w:tc>
        <w:tc>
          <w:tcPr>
            <w:tcW w:w="2550" w:type="dxa"/>
            <w:tcBorders/>
            <w:shd w:color="auto" w:fill="auto" w:val="clear"/>
            <w:vAlign w:val="bottom"/>
          </w:tcPr>
          <w:p>
            <w:pPr>
              <w:pStyle w:val="Normal"/>
              <w:pBdr>
                <w:top w:val="single" w:sz="4" w:space="1" w:color="00000A"/>
                <w:left w:val="single" w:sz="4" w:space="1" w:color="00000A"/>
                <w:bottom w:val="single" w:sz="4" w:space="1" w:color="00000A"/>
                <w:right w:val="single" w:sz="4" w:space="1" w:color="00000A"/>
              </w:pBdr>
              <w:jc w:val="right"/>
              <w:rPr>
                <w:rFonts w:eastAsia="Times New Roman"/>
                <w:color w:val="000000"/>
                <w:sz w:val="20"/>
                <w:szCs w:val="20"/>
                <w:lang w:eastAsia="pt-BR"/>
              </w:rPr>
            </w:pPr>
            <w:r>
              <w:rPr>
                <w:rFonts w:eastAsia="Times New Roman"/>
                <w:color w:val="000000"/>
                <w:sz w:val="20"/>
                <w:szCs w:val="20"/>
                <w:lang w:eastAsia="pt-BR"/>
              </w:rPr>
              <w:t>5 servidores</w:t>
            </w:r>
          </w:p>
        </w:tc>
      </w:tr>
      <w:tr>
        <w:trPr>
          <w:trHeight w:val="300" w:hRule="atLeast"/>
        </w:trPr>
        <w:tc>
          <w:tcPr>
            <w:tcW w:w="5969" w:type="dxa"/>
            <w:tcBorders/>
            <w:shd w:color="auto" w:fill="auto" w:val="clear"/>
            <w:vAlign w:val="bottom"/>
          </w:tcPr>
          <w:p>
            <w:pPr>
              <w:pStyle w:val="Normal"/>
              <w:pBdr>
                <w:top w:val="single" w:sz="4" w:space="1" w:color="00000A"/>
                <w:left w:val="single" w:sz="4" w:space="1" w:color="00000A"/>
                <w:bottom w:val="single" w:sz="4" w:space="1" w:color="00000A"/>
                <w:right w:val="single" w:sz="4" w:space="1" w:color="00000A"/>
              </w:pBdr>
              <w:rPr>
                <w:rFonts w:eastAsia="Times New Roman"/>
                <w:bCs/>
                <w:color w:val="000000"/>
                <w:sz w:val="20"/>
                <w:szCs w:val="20"/>
                <w:lang w:eastAsia="pt-BR"/>
              </w:rPr>
            </w:pPr>
            <w:r>
              <w:rPr>
                <w:rFonts w:eastAsia="Times New Roman"/>
                <w:bCs/>
                <w:color w:val="000000"/>
                <w:sz w:val="20"/>
                <w:szCs w:val="20"/>
                <w:lang w:eastAsia="pt-BR"/>
              </w:rPr>
              <w:t>06 - Atend. Diligências CGU e TCU</w:t>
            </w:r>
          </w:p>
        </w:tc>
        <w:tc>
          <w:tcPr>
            <w:tcW w:w="2550" w:type="dxa"/>
            <w:tcBorders/>
            <w:shd w:color="auto" w:fill="auto" w:val="clear"/>
            <w:vAlign w:val="bottom"/>
          </w:tcPr>
          <w:p>
            <w:pPr>
              <w:pStyle w:val="Normal"/>
              <w:pBdr>
                <w:top w:val="single" w:sz="4" w:space="1" w:color="00000A"/>
                <w:left w:val="single" w:sz="4" w:space="1" w:color="00000A"/>
                <w:bottom w:val="single" w:sz="4" w:space="1" w:color="00000A"/>
                <w:right w:val="single" w:sz="4" w:space="1" w:color="00000A"/>
              </w:pBdr>
              <w:jc w:val="right"/>
              <w:rPr>
                <w:rFonts w:eastAsia="Times New Roman"/>
                <w:bCs/>
                <w:color w:val="000000"/>
                <w:sz w:val="20"/>
                <w:szCs w:val="20"/>
                <w:lang w:eastAsia="pt-BR"/>
              </w:rPr>
            </w:pPr>
            <w:r>
              <w:rPr>
                <w:rFonts w:eastAsia="Times New Roman"/>
                <w:bCs/>
                <w:color w:val="000000"/>
                <w:sz w:val="20"/>
                <w:szCs w:val="20"/>
                <w:lang w:eastAsia="pt-BR"/>
              </w:rPr>
              <w:t>948</w:t>
            </w:r>
          </w:p>
        </w:tc>
      </w:tr>
      <w:tr>
        <w:trPr>
          <w:trHeight w:val="300" w:hRule="atLeast"/>
        </w:trPr>
        <w:tc>
          <w:tcPr>
            <w:tcW w:w="5969" w:type="dxa"/>
            <w:tcBorders/>
            <w:shd w:color="auto" w:fill="auto" w:val="clear"/>
            <w:vAlign w:val="bottom"/>
          </w:tcPr>
          <w:p>
            <w:pPr>
              <w:pStyle w:val="Normal"/>
              <w:pBdr>
                <w:top w:val="single" w:sz="4" w:space="1" w:color="00000A"/>
                <w:left w:val="single" w:sz="4" w:space="1" w:color="00000A"/>
                <w:bottom w:val="single" w:sz="4" w:space="1" w:color="00000A"/>
                <w:right w:val="single" w:sz="4" w:space="1" w:color="00000A"/>
              </w:pBdr>
              <w:ind w:firstLine="200"/>
              <w:rPr>
                <w:rFonts w:eastAsia="Times New Roman"/>
                <w:color w:val="000000"/>
                <w:sz w:val="20"/>
                <w:szCs w:val="20"/>
                <w:lang w:eastAsia="pt-BR"/>
              </w:rPr>
            </w:pPr>
            <w:r>
              <w:rPr>
                <w:rFonts w:eastAsia="Times New Roman"/>
                <w:color w:val="000000"/>
                <w:sz w:val="20"/>
                <w:szCs w:val="20"/>
                <w:lang w:eastAsia="pt-BR"/>
              </w:rPr>
              <w:t>Participaram o Auditor Titular e os quatro servidores da AUDIN.</w:t>
            </w:r>
          </w:p>
        </w:tc>
        <w:tc>
          <w:tcPr>
            <w:tcW w:w="2550" w:type="dxa"/>
            <w:tcBorders/>
            <w:shd w:color="auto" w:fill="auto" w:val="clear"/>
            <w:vAlign w:val="bottom"/>
          </w:tcPr>
          <w:p>
            <w:pPr>
              <w:pStyle w:val="Normal"/>
              <w:pBdr>
                <w:top w:val="single" w:sz="4" w:space="1" w:color="00000A"/>
                <w:left w:val="single" w:sz="4" w:space="1" w:color="00000A"/>
                <w:bottom w:val="single" w:sz="4" w:space="1" w:color="00000A"/>
                <w:right w:val="single" w:sz="4" w:space="1" w:color="00000A"/>
              </w:pBdr>
              <w:jc w:val="right"/>
              <w:rPr>
                <w:rFonts w:eastAsia="Times New Roman"/>
                <w:color w:val="000000"/>
                <w:sz w:val="20"/>
                <w:szCs w:val="20"/>
                <w:lang w:eastAsia="pt-BR"/>
              </w:rPr>
            </w:pPr>
            <w:r>
              <w:rPr>
                <w:rFonts w:eastAsia="Times New Roman"/>
                <w:color w:val="000000"/>
                <w:sz w:val="20"/>
                <w:szCs w:val="20"/>
                <w:lang w:eastAsia="pt-BR"/>
              </w:rPr>
              <w:t xml:space="preserve">5 servidores </w:t>
            </w:r>
          </w:p>
        </w:tc>
      </w:tr>
      <w:tr>
        <w:trPr>
          <w:trHeight w:val="300" w:hRule="atLeast"/>
        </w:trPr>
        <w:tc>
          <w:tcPr>
            <w:tcW w:w="5969" w:type="dxa"/>
            <w:tcBorders/>
            <w:shd w:color="auto" w:fill="auto" w:val="clear"/>
            <w:vAlign w:val="bottom"/>
          </w:tcPr>
          <w:p>
            <w:pPr>
              <w:pStyle w:val="Normal"/>
              <w:pBdr>
                <w:top w:val="single" w:sz="4" w:space="1" w:color="00000A"/>
                <w:left w:val="single" w:sz="4" w:space="1" w:color="00000A"/>
                <w:bottom w:val="single" w:sz="4" w:space="1" w:color="00000A"/>
                <w:right w:val="single" w:sz="4" w:space="1" w:color="00000A"/>
              </w:pBdr>
              <w:rPr>
                <w:rFonts w:eastAsia="Times New Roman"/>
                <w:bCs/>
                <w:color w:val="000000"/>
                <w:sz w:val="20"/>
                <w:szCs w:val="20"/>
                <w:lang w:eastAsia="pt-BR"/>
              </w:rPr>
            </w:pPr>
            <w:r>
              <w:rPr>
                <w:rFonts w:eastAsia="Times New Roman"/>
                <w:bCs/>
                <w:color w:val="000000"/>
                <w:sz w:val="20"/>
                <w:szCs w:val="20"/>
                <w:lang w:eastAsia="pt-BR"/>
              </w:rPr>
              <w:t>08 - Acomp. Recomend. AUDIN</w:t>
            </w:r>
          </w:p>
        </w:tc>
        <w:tc>
          <w:tcPr>
            <w:tcW w:w="2550" w:type="dxa"/>
            <w:tcBorders/>
            <w:shd w:color="auto" w:fill="auto" w:val="clear"/>
            <w:vAlign w:val="bottom"/>
          </w:tcPr>
          <w:p>
            <w:pPr>
              <w:pStyle w:val="Normal"/>
              <w:pBdr>
                <w:top w:val="single" w:sz="4" w:space="1" w:color="00000A"/>
                <w:left w:val="single" w:sz="4" w:space="1" w:color="00000A"/>
                <w:bottom w:val="single" w:sz="4" w:space="1" w:color="00000A"/>
                <w:right w:val="single" w:sz="4" w:space="1" w:color="00000A"/>
              </w:pBdr>
              <w:jc w:val="right"/>
              <w:rPr>
                <w:rFonts w:eastAsia="Times New Roman"/>
                <w:bCs/>
                <w:color w:val="000000"/>
                <w:sz w:val="20"/>
                <w:szCs w:val="20"/>
                <w:lang w:eastAsia="pt-BR"/>
              </w:rPr>
            </w:pPr>
            <w:r>
              <w:rPr>
                <w:rFonts w:eastAsia="Times New Roman"/>
                <w:bCs/>
                <w:color w:val="000000"/>
                <w:sz w:val="20"/>
                <w:szCs w:val="20"/>
                <w:lang w:eastAsia="pt-BR"/>
              </w:rPr>
              <w:t>610</w:t>
            </w:r>
          </w:p>
        </w:tc>
      </w:tr>
      <w:tr>
        <w:trPr>
          <w:trHeight w:val="300" w:hRule="atLeast"/>
        </w:trPr>
        <w:tc>
          <w:tcPr>
            <w:tcW w:w="5969" w:type="dxa"/>
            <w:tcBorders/>
            <w:shd w:color="auto" w:fill="auto" w:val="clear"/>
            <w:vAlign w:val="bottom"/>
          </w:tcPr>
          <w:p>
            <w:pPr>
              <w:pStyle w:val="Normal"/>
              <w:pBdr>
                <w:top w:val="single" w:sz="4" w:space="1" w:color="00000A"/>
                <w:left w:val="single" w:sz="4" w:space="1" w:color="00000A"/>
                <w:bottom w:val="single" w:sz="4" w:space="1" w:color="00000A"/>
                <w:right w:val="single" w:sz="4" w:space="1" w:color="00000A"/>
              </w:pBdr>
              <w:ind w:firstLine="200"/>
              <w:rPr>
                <w:rFonts w:eastAsia="Times New Roman"/>
                <w:color w:val="000000"/>
                <w:sz w:val="20"/>
                <w:szCs w:val="20"/>
                <w:lang w:eastAsia="pt-BR"/>
              </w:rPr>
            </w:pPr>
            <w:r>
              <w:rPr>
                <w:rFonts w:eastAsia="Times New Roman"/>
                <w:color w:val="000000"/>
                <w:sz w:val="20"/>
                <w:szCs w:val="20"/>
                <w:lang w:eastAsia="pt-BR"/>
              </w:rPr>
              <w:t>Participaram o Auditor Titular e  três servidores da AUDIN.</w:t>
            </w:r>
          </w:p>
        </w:tc>
        <w:tc>
          <w:tcPr>
            <w:tcW w:w="2550" w:type="dxa"/>
            <w:tcBorders/>
            <w:shd w:color="auto" w:fill="auto" w:val="clear"/>
            <w:vAlign w:val="bottom"/>
          </w:tcPr>
          <w:p>
            <w:pPr>
              <w:pStyle w:val="Normal"/>
              <w:pBdr>
                <w:top w:val="single" w:sz="4" w:space="1" w:color="00000A"/>
                <w:left w:val="single" w:sz="4" w:space="1" w:color="00000A"/>
                <w:bottom w:val="single" w:sz="4" w:space="1" w:color="00000A"/>
                <w:right w:val="single" w:sz="4" w:space="1" w:color="00000A"/>
              </w:pBdr>
              <w:jc w:val="right"/>
              <w:rPr>
                <w:rFonts w:eastAsia="Times New Roman"/>
                <w:color w:val="000000"/>
                <w:sz w:val="20"/>
                <w:szCs w:val="20"/>
                <w:lang w:eastAsia="pt-BR"/>
              </w:rPr>
            </w:pPr>
            <w:r>
              <w:rPr>
                <w:rFonts w:eastAsia="Times New Roman"/>
                <w:color w:val="000000"/>
                <w:sz w:val="20"/>
                <w:szCs w:val="20"/>
                <w:lang w:eastAsia="pt-BR"/>
              </w:rPr>
              <w:t>4 servidores</w:t>
            </w:r>
          </w:p>
        </w:tc>
      </w:tr>
      <w:tr>
        <w:trPr>
          <w:trHeight w:val="300" w:hRule="atLeast"/>
        </w:trPr>
        <w:tc>
          <w:tcPr>
            <w:tcW w:w="5969" w:type="dxa"/>
            <w:tcBorders/>
            <w:shd w:color="auto" w:fill="auto" w:val="clear"/>
            <w:vAlign w:val="bottom"/>
          </w:tcPr>
          <w:p>
            <w:pPr>
              <w:pStyle w:val="Normal"/>
              <w:pBdr>
                <w:top w:val="single" w:sz="4" w:space="1" w:color="00000A"/>
                <w:left w:val="single" w:sz="4" w:space="1" w:color="00000A"/>
                <w:bottom w:val="single" w:sz="4" w:space="1" w:color="00000A"/>
                <w:right w:val="single" w:sz="4" w:space="1" w:color="00000A"/>
              </w:pBdr>
              <w:rPr>
                <w:rFonts w:eastAsia="Times New Roman"/>
                <w:bCs/>
                <w:color w:val="000000"/>
                <w:sz w:val="20"/>
                <w:szCs w:val="20"/>
                <w:lang w:eastAsia="pt-BR"/>
              </w:rPr>
            </w:pPr>
            <w:r>
              <w:rPr>
                <w:rFonts w:eastAsia="Times New Roman"/>
                <w:bCs/>
                <w:color w:val="000000"/>
                <w:sz w:val="20"/>
                <w:szCs w:val="20"/>
                <w:lang w:eastAsia="pt-BR"/>
              </w:rPr>
              <w:t>09 - Ativ. Adm. de apoio à AUDIN</w:t>
            </w:r>
          </w:p>
        </w:tc>
        <w:tc>
          <w:tcPr>
            <w:tcW w:w="2550" w:type="dxa"/>
            <w:tcBorders/>
            <w:shd w:color="auto" w:fill="auto" w:val="clear"/>
            <w:vAlign w:val="bottom"/>
          </w:tcPr>
          <w:p>
            <w:pPr>
              <w:pStyle w:val="Normal"/>
              <w:pBdr>
                <w:top w:val="single" w:sz="4" w:space="1" w:color="00000A"/>
                <w:left w:val="single" w:sz="4" w:space="1" w:color="00000A"/>
                <w:bottom w:val="single" w:sz="4" w:space="1" w:color="00000A"/>
                <w:right w:val="single" w:sz="4" w:space="1" w:color="00000A"/>
              </w:pBdr>
              <w:jc w:val="right"/>
              <w:rPr>
                <w:rFonts w:eastAsia="Times New Roman"/>
                <w:bCs/>
                <w:color w:val="000000"/>
                <w:sz w:val="20"/>
                <w:szCs w:val="20"/>
                <w:lang w:eastAsia="pt-BR"/>
              </w:rPr>
            </w:pPr>
            <w:r>
              <w:rPr>
                <w:rFonts w:eastAsia="Times New Roman"/>
                <w:bCs/>
                <w:color w:val="000000"/>
                <w:sz w:val="20"/>
                <w:szCs w:val="20"/>
                <w:lang w:eastAsia="pt-BR"/>
              </w:rPr>
              <w:t>794</w:t>
            </w:r>
          </w:p>
        </w:tc>
      </w:tr>
      <w:tr>
        <w:trPr>
          <w:trHeight w:val="300" w:hRule="atLeast"/>
        </w:trPr>
        <w:tc>
          <w:tcPr>
            <w:tcW w:w="5969" w:type="dxa"/>
            <w:tcBorders/>
            <w:shd w:color="auto" w:fill="auto" w:val="clear"/>
            <w:vAlign w:val="bottom"/>
          </w:tcPr>
          <w:p>
            <w:pPr>
              <w:pStyle w:val="Normal"/>
              <w:pBdr>
                <w:top w:val="single" w:sz="4" w:space="1" w:color="00000A"/>
                <w:left w:val="single" w:sz="4" w:space="1" w:color="00000A"/>
                <w:bottom w:val="single" w:sz="4" w:space="1" w:color="00000A"/>
                <w:right w:val="single" w:sz="4" w:space="1" w:color="00000A"/>
              </w:pBdr>
              <w:ind w:firstLine="200"/>
              <w:rPr>
                <w:rFonts w:eastAsia="Times New Roman"/>
                <w:color w:val="000000"/>
                <w:sz w:val="20"/>
                <w:szCs w:val="20"/>
                <w:lang w:eastAsia="pt-BR"/>
              </w:rPr>
            </w:pPr>
            <w:r>
              <w:rPr>
                <w:rFonts w:eastAsia="Times New Roman"/>
                <w:color w:val="000000"/>
                <w:sz w:val="20"/>
                <w:szCs w:val="20"/>
                <w:lang w:eastAsia="pt-BR"/>
              </w:rPr>
              <w:t>Participaram o Auditor Titular e os quatro servidores da AUDIN.</w:t>
            </w:r>
          </w:p>
        </w:tc>
        <w:tc>
          <w:tcPr>
            <w:tcW w:w="2550" w:type="dxa"/>
            <w:tcBorders/>
            <w:shd w:color="auto" w:fill="auto" w:val="clear"/>
            <w:vAlign w:val="bottom"/>
          </w:tcPr>
          <w:p>
            <w:pPr>
              <w:pStyle w:val="Normal"/>
              <w:pBdr>
                <w:top w:val="single" w:sz="4" w:space="1" w:color="00000A"/>
                <w:left w:val="single" w:sz="4" w:space="1" w:color="00000A"/>
                <w:bottom w:val="single" w:sz="4" w:space="1" w:color="00000A"/>
                <w:right w:val="single" w:sz="4" w:space="1" w:color="00000A"/>
              </w:pBdr>
              <w:jc w:val="right"/>
              <w:rPr>
                <w:rFonts w:eastAsia="Times New Roman"/>
                <w:color w:val="000000"/>
                <w:sz w:val="20"/>
                <w:szCs w:val="20"/>
                <w:lang w:eastAsia="pt-BR"/>
              </w:rPr>
            </w:pPr>
            <w:r>
              <w:rPr>
                <w:rFonts w:eastAsia="Times New Roman"/>
                <w:color w:val="000000"/>
                <w:sz w:val="20"/>
                <w:szCs w:val="20"/>
                <w:lang w:eastAsia="pt-BR"/>
              </w:rPr>
              <w:t>5 servidores</w:t>
            </w:r>
          </w:p>
        </w:tc>
      </w:tr>
    </w:tbl>
    <w:p>
      <w:pPr>
        <w:pStyle w:val="Textbody"/>
        <w:jc w:val="both"/>
        <w:rPr>
          <w:rFonts w:cs="Times New Roman"/>
          <w:lang w:eastAsia="pt-BR" w:bidi="ar-SA"/>
        </w:rPr>
      </w:pPr>
      <w:r>
        <w:rPr>
          <w:rFonts w:cs="Times New Roman"/>
          <w:lang w:eastAsia="pt-BR" w:bidi="ar-SA"/>
        </w:rPr>
        <w:t xml:space="preserve">Atividade nº </w:t>
      </w:r>
      <w:r>
        <w:rPr>
          <w:rFonts w:cs="Times New Roman"/>
        </w:rPr>
        <w:t>17/2015: Avaliação simplificada de riscos da UFRPE, em conformidade ao Acórdão n. 3388/2013-Plenário(item 9.1.5), deixou de ser realizada e também não foi reprogramada para o exercício de 2016.</w:t>
      </w:r>
      <w:r>
        <w:rPr>
          <w:rFonts w:eastAsia="Calibri" w:cs="Times New Roman"/>
        </w:rPr>
        <w:t xml:space="preserve"> Esta Atividade deveria subsidiar a definição do plano de auditoria interna da UFRPE do exercício de 2016, quando da definição das áreas que deveriam ser objeto de auditoria.</w:t>
      </w:r>
    </w:p>
    <w:p>
      <w:pPr>
        <w:pStyle w:val="Normal"/>
        <w:spacing w:lineRule="auto" w:line="240" w:beforeAutospacing="1" w:afterAutospacing="1"/>
        <w:contextualSpacing/>
        <w:jc w:val="both"/>
        <w:rPr/>
      </w:pPr>
      <w:r>
        <w:rPr>
          <w:bCs/>
        </w:rPr>
        <w:t>Ressalta-se ainda que as ações de capacitação, prevista no PAINT/2015, também não serão realizadas em sua totalidade, sendo que das 720 horas previstas para capacitação, apenas deverão ser utilizadas 372 (320+52) horas com capacitação para os servidores, o que representa um percentual de 51,66%, restando 400 horas que deve ser convertidas para a realização das demais ações do PAINT</w:t>
      </w:r>
      <w:r>
        <w:rPr/>
        <w:t xml:space="preserve">. </w:t>
      </w:r>
    </w:p>
    <w:p>
      <w:pPr>
        <w:pStyle w:val="Normal"/>
        <w:spacing w:lineRule="auto" w:line="240" w:beforeAutospacing="1" w:afterAutospacing="1"/>
        <w:contextualSpacing/>
        <w:jc w:val="both"/>
        <w:rPr>
          <w:color w:val="FFFFFF" w:themeColor="background1"/>
          <w:spacing w:val="0"/>
          <w:sz w:val="2"/>
          <w:szCs w:val="2"/>
        </w:rPr>
      </w:pPr>
      <w:r>
        <w:rPr>
          <w:color w:val="FFFFFF" w:themeColor="background1"/>
          <w:spacing w:val="0"/>
          <w:sz w:val="2"/>
          <w:szCs w:val="2"/>
        </w:rPr>
        <w:t>##/AnaliseControleInterno##</w:t>
      </w:r>
    </w:p>
    <w:p>
      <w:pPr>
        <w:pStyle w:val="Normal"/>
        <w:spacing w:lineRule="auto" w:line="240" w:before="0" w:after="0"/>
        <w:jc w:val="both"/>
        <w:rPr>
          <w:b/>
          <w:b/>
          <w:shd w:fill="FFFF00" w:val="clear"/>
        </w:rPr>
      </w:pPr>
      <w:r>
        <w:rPr>
          <w:b/>
          <w:shd w:fill="FFFF00" w:val="clear"/>
        </w:rPr>
      </w:r>
    </w:p>
    <w:p>
      <w:pPr>
        <w:pStyle w:val="Normal"/>
        <w:spacing w:lineRule="auto" w:line="240" w:before="0" w:after="0"/>
        <w:jc w:val="both"/>
        <w:rPr>
          <w:b/>
          <w:b/>
        </w:rPr>
      </w:pPr>
      <w:r>
        <w:rPr>
          <w:b/>
        </w:rPr>
        <w:t>Recomendações:</w:t>
      </w:r>
    </w:p>
    <w:p>
      <w:pPr>
        <w:pStyle w:val="Normal"/>
        <w:spacing w:lineRule="auto" w:line="240" w:before="0" w:after="0"/>
        <w:jc w:val="both"/>
        <w:rPr/>
      </w:pPr>
      <w:r>
        <w:rPr/>
        <w:t>Recomendação 1: Melhorar o planejamento das ações de controle da unidade de auditoria interna, de forma a priorizar a realização de novas auditorias.</w:t>
      </w:r>
    </w:p>
    <w:p>
      <w:pPr>
        <w:pStyle w:val="Normal"/>
        <w:spacing w:lineRule="auto" w:line="240" w:before="0" w:after="0"/>
        <w:jc w:val="both"/>
        <w:rPr/>
      </w:pPr>
      <w:r>
        <w:rPr/>
      </w:r>
    </w:p>
    <w:p>
      <w:pPr>
        <w:pStyle w:val="Normal"/>
        <w:spacing w:lineRule="auto" w:line="240" w:before="0" w:after="0"/>
        <w:jc w:val="both"/>
        <w:rPr/>
      </w:pPr>
      <w:r>
        <w:rPr/>
        <w:t>Recomendação 2: Quando da ocorrência de fatos supervenientes, com impacto no PAINT vigente, ajustar o planejamento aprovado, priorizando a manutenção das ações de controle (auditorias planejadas). Comunicar à CGU as alterações relevantes no PAINT vigente.</w:t>
      </w:r>
    </w:p>
    <w:p>
      <w:pPr>
        <w:pStyle w:val="Normal"/>
        <w:spacing w:lineRule="auto" w:line="240" w:before="0" w:after="0"/>
        <w:jc w:val="both"/>
        <w:rPr/>
      </w:pPr>
      <w:r>
        <w:rPr/>
      </w:r>
    </w:p>
    <w:p>
      <w:pPr>
        <w:pStyle w:val="Normal"/>
        <w:spacing w:lineRule="auto" w:line="240" w:before="0" w:after="0"/>
        <w:jc w:val="both"/>
        <w:rPr/>
      </w:pPr>
      <w:r>
        <w:rPr/>
        <w:t>Recomendação 3:</w:t>
      </w:r>
    </w:p>
    <w:p>
      <w:pPr>
        <w:pStyle w:val="Normal"/>
        <w:spacing w:lineRule="auto" w:line="240" w:before="0" w:after="0"/>
        <w:jc w:val="both"/>
        <w:rPr/>
      </w:pPr>
      <w:r>
        <w:rPr>
          <w:rFonts w:eastAsia="Times New Roman"/>
          <w:lang w:eastAsia="pt-BR"/>
        </w:rPr>
        <w:t>Na execução do PAINT, distribuir melhor a força de trabalho, evitando concentrar toda equipe na realização de uma mesma atividade.</w:t>
      </w:r>
    </w:p>
    <w:p>
      <w:pPr>
        <w:pStyle w:val="Normal"/>
        <w:spacing w:lineRule="auto" w:line="240" w:before="0" w:after="0"/>
        <w:jc w:val="both"/>
        <w:rPr/>
      </w:pPr>
      <w:r>
        <w:rPr/>
      </w:r>
    </w:p>
    <w:p>
      <w:pPr>
        <w:pStyle w:val="Normal"/>
        <w:spacing w:lineRule="auto" w:line="240" w:before="0" w:after="0"/>
        <w:jc w:val="both"/>
        <w:rPr>
          <w:rFonts w:eastAsia="Times New Roman"/>
          <w:lang w:eastAsia="pt-BR"/>
        </w:rPr>
      </w:pPr>
      <w:r>
        <w:rPr>
          <w:rFonts w:eastAsia="Times New Roman"/>
          <w:lang w:eastAsia="pt-BR"/>
        </w:rPr>
      </w:r>
    </w:p>
    <w:p>
      <w:pPr>
        <w:pStyle w:val="Normal"/>
        <w:spacing w:lineRule="auto" w:line="240" w:before="0" w:after="0"/>
        <w:rPr>
          <w:rFonts w:ascii="Arial" w:hAnsi="Arial" w:cs="Arial"/>
          <w:b/>
          <w:b/>
        </w:rPr>
      </w:pPr>
      <w:r>
        <w:rPr>
          <w:b/>
        </w:rPr>
        <w:t>1.1.1.4</w:t>
      </w:r>
      <w:r>
        <w:rPr>
          <w:rFonts w:cs="Arial" w:ascii="Arial" w:hAnsi="Arial"/>
          <w:b/>
        </w:rPr>
        <w:t xml:space="preserve"> </w:t>
      </w:r>
      <w:r>
        <w:rPr>
          <w:b/>
        </w:rPr>
        <w:t>CONSTATAÇÃO</w:t>
      </w:r>
    </w:p>
    <w:p>
      <w:pPr>
        <w:pStyle w:val="Normal"/>
        <w:spacing w:lineRule="auto" w:line="240" w:before="0" w:after="0"/>
        <w:rPr>
          <w:b/>
          <w:b/>
        </w:rPr>
      </w:pPr>
      <w:r>
        <w:rPr>
          <w:b/>
        </w:rPr>
      </w:r>
    </w:p>
    <w:p>
      <w:pPr>
        <w:pStyle w:val="Normal"/>
        <w:spacing w:lineRule="auto" w:line="240" w:before="0" w:after="0"/>
        <w:jc w:val="both"/>
        <w:rPr>
          <w:b/>
          <w:b/>
        </w:rPr>
      </w:pPr>
      <w:r>
        <w:rPr>
          <w:b/>
        </w:rPr>
        <w:t>Não realização de auditorias previstas nos Plano Anual de Atividades da Auditoria Interna da UFRPE de 2011 a 2015.</w:t>
      </w:r>
    </w:p>
    <w:p>
      <w:pPr>
        <w:pStyle w:val="Normal"/>
        <w:spacing w:lineRule="auto" w:line="240" w:before="0" w:after="0"/>
        <w:rPr/>
      </w:pPr>
      <w:r>
        <w:rPr/>
      </w:r>
    </w:p>
    <w:p>
      <w:pPr>
        <w:pStyle w:val="Normal"/>
        <w:spacing w:lineRule="auto" w:line="240" w:before="0" w:after="0"/>
        <w:rPr>
          <w:rFonts w:ascii="Arial" w:hAnsi="Arial" w:cs="Arial"/>
          <w:b/>
          <w:b/>
        </w:rPr>
      </w:pPr>
      <w:r>
        <w:rPr>
          <w:b/>
        </w:rPr>
        <w:t>Fato</w:t>
      </w:r>
    </w:p>
    <w:p>
      <w:pPr>
        <w:pStyle w:val="Normal"/>
        <w:spacing w:lineRule="auto" w:line="240" w:before="0" w:after="0"/>
        <w:rPr>
          <w:b/>
          <w:b/>
        </w:rPr>
      </w:pPr>
      <w:r>
        <w:rPr>
          <w:b/>
        </w:rPr>
      </w:r>
    </w:p>
    <w:p>
      <w:pPr>
        <w:pStyle w:val="Standard"/>
        <w:jc w:val="both"/>
        <w:rPr/>
      </w:pPr>
      <w:r>
        <w:rPr/>
        <w:t xml:space="preserve">Conforme se verifica nos relatórios anteriores de avaliação da execução do PAINT da UFRPE, constata-se que anualmente a AUDIN não tem realizado todas as ações planejadas, em especial no que se refere às auditorias da UFRPE. </w:t>
      </w:r>
    </w:p>
    <w:p>
      <w:pPr>
        <w:pStyle w:val="Standard"/>
        <w:jc w:val="both"/>
        <w:rPr/>
      </w:pPr>
      <w:r>
        <w:rPr/>
      </w:r>
    </w:p>
    <w:p>
      <w:pPr>
        <w:pStyle w:val="Standard"/>
        <w:jc w:val="both"/>
        <w:rPr/>
      </w:pPr>
      <w:r>
        <w:rPr/>
        <w:t>a) PAINT 2011 (constatação 008, do Relatório 201114685).</w:t>
      </w:r>
    </w:p>
    <w:p>
      <w:pPr>
        <w:pStyle w:val="Standard"/>
        <w:jc w:val="both"/>
        <w:rPr/>
      </w:pPr>
      <w:r>
        <w:rPr/>
      </w:r>
    </w:p>
    <w:tbl>
      <w:tblPr>
        <w:tblW w:w="8505"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noVBand="1" w:val="04a0" w:noHBand="0" w:lastColumn="0" w:firstColumn="1" w:lastRow="0" w:firstRow="1"/>
      </w:tblPr>
      <w:tblGrid>
        <w:gridCol w:w="6096"/>
        <w:gridCol w:w="912"/>
        <w:gridCol w:w="1497"/>
      </w:tblGrid>
      <w:tr>
        <w:trPr/>
        <w:tc>
          <w:tcPr>
            <w:tcW w:w="60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center"/>
              <w:rPr>
                <w:rFonts w:eastAsia="Calibri" w:cs="Times New Roman"/>
                <w:sz w:val="20"/>
                <w:szCs w:val="20"/>
              </w:rPr>
            </w:pPr>
            <w:r>
              <w:rPr>
                <w:rFonts w:eastAsia="Calibri" w:cs="Times New Roman"/>
                <w:sz w:val="20"/>
                <w:szCs w:val="20"/>
              </w:rPr>
              <w:t>Atividade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center"/>
              <w:rPr>
                <w:rFonts w:eastAsia="Calibri" w:cs="Times New Roman"/>
                <w:sz w:val="20"/>
                <w:szCs w:val="20"/>
              </w:rPr>
            </w:pPr>
            <w:r>
              <w:rPr>
                <w:rFonts w:eastAsia="Calibri" w:cs="Times New Roman"/>
                <w:sz w:val="20"/>
                <w:szCs w:val="20"/>
              </w:rPr>
              <w:t>HH</w:t>
            </w:r>
          </w:p>
        </w:tc>
        <w:tc>
          <w:tcPr>
            <w:tcW w:w="14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center"/>
              <w:rPr>
                <w:rFonts w:eastAsia="Calibri" w:cs="Times New Roman"/>
                <w:sz w:val="20"/>
                <w:szCs w:val="20"/>
              </w:rPr>
            </w:pPr>
            <w:r>
              <w:rPr>
                <w:rFonts w:eastAsia="Calibri" w:cs="Times New Roman"/>
                <w:sz w:val="20"/>
                <w:szCs w:val="20"/>
              </w:rPr>
              <w:t>Situação</w:t>
            </w:r>
          </w:p>
        </w:tc>
      </w:tr>
      <w:tr>
        <w:trPr/>
        <w:tc>
          <w:tcPr>
            <w:tcW w:w="60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rPr>
            </w:pPr>
            <w:r>
              <w:rPr>
                <w:rFonts w:eastAsia="Calibri"/>
                <w:sz w:val="20"/>
                <w:szCs w:val="20"/>
                <w:lang w:eastAsia="pt-BR"/>
              </w:rPr>
              <w:t xml:space="preserve">05/2011 - Cessão de áreas e imóveis da Instituição à terceiros </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sz w:val="20"/>
                <w:szCs w:val="20"/>
              </w:rPr>
            </w:pPr>
            <w:r>
              <w:rPr>
                <w:rFonts w:eastAsia="Calibri" w:cs="Times New Roman"/>
                <w:sz w:val="20"/>
                <w:szCs w:val="20"/>
                <w:lang w:eastAsia="pt-BR" w:bidi="ar-SA"/>
              </w:rPr>
              <w:t>320H</w:t>
            </w:r>
          </w:p>
        </w:tc>
        <w:tc>
          <w:tcPr>
            <w:tcW w:w="14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lang w:eastAsia="pt-BR"/>
              </w:rPr>
            </w:pPr>
            <w:r>
              <w:rPr>
                <w:rFonts w:eastAsia="Calibri"/>
                <w:sz w:val="20"/>
                <w:szCs w:val="20"/>
                <w:lang w:eastAsia="pt-BR"/>
              </w:rPr>
              <w:t>Não realizada</w:t>
            </w:r>
          </w:p>
          <w:p>
            <w:pPr>
              <w:pStyle w:val="Standard"/>
              <w:jc w:val="both"/>
              <w:rPr>
                <w:rFonts w:eastAsia="Calibri" w:cs="Times New Roman"/>
                <w:sz w:val="20"/>
                <w:szCs w:val="20"/>
              </w:rPr>
            </w:pPr>
            <w:r>
              <w:rPr>
                <w:rFonts w:eastAsia="Calibri" w:cs="Times New Roman"/>
                <w:sz w:val="20"/>
                <w:szCs w:val="20"/>
              </w:rPr>
            </w:r>
          </w:p>
        </w:tc>
      </w:tr>
      <w:tr>
        <w:trPr/>
        <w:tc>
          <w:tcPr>
            <w:tcW w:w="60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rPr>
            </w:pPr>
            <w:r>
              <w:rPr>
                <w:rFonts w:eastAsia="Calibri"/>
                <w:sz w:val="20"/>
                <w:szCs w:val="20"/>
                <w:lang w:eastAsia="pt-BR"/>
              </w:rPr>
              <w:t xml:space="preserve"> </w:t>
            </w:r>
            <w:r>
              <w:rPr>
                <w:rFonts w:eastAsia="Calibri"/>
                <w:sz w:val="20"/>
                <w:szCs w:val="20"/>
                <w:lang w:eastAsia="pt-BR"/>
              </w:rPr>
              <w:t>09/2011: Auditoria em Diários de Classe dos Departamentos de Física, Química, Matemática e Biologia</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sz w:val="20"/>
                <w:szCs w:val="20"/>
              </w:rPr>
            </w:pPr>
            <w:r>
              <w:rPr>
                <w:rFonts w:eastAsia="Calibri" w:cs="Times New Roman"/>
                <w:sz w:val="20"/>
                <w:szCs w:val="20"/>
              </w:rPr>
              <w:t>64 H</w:t>
            </w:r>
          </w:p>
        </w:tc>
        <w:tc>
          <w:tcPr>
            <w:tcW w:w="14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lang w:eastAsia="pt-BR"/>
              </w:rPr>
            </w:pPr>
            <w:r>
              <w:rPr>
                <w:rFonts w:eastAsia="Calibri"/>
                <w:sz w:val="20"/>
                <w:szCs w:val="20"/>
                <w:lang w:eastAsia="pt-BR"/>
              </w:rPr>
              <w:t>Não realizada</w:t>
            </w:r>
          </w:p>
          <w:p>
            <w:pPr>
              <w:pStyle w:val="Standard"/>
              <w:jc w:val="both"/>
              <w:rPr>
                <w:rFonts w:eastAsia="Calibri" w:cs="Times New Roman"/>
                <w:sz w:val="20"/>
                <w:szCs w:val="20"/>
              </w:rPr>
            </w:pPr>
            <w:r>
              <w:rPr>
                <w:rFonts w:eastAsia="Calibri" w:cs="Times New Roman"/>
                <w:sz w:val="20"/>
                <w:szCs w:val="20"/>
              </w:rPr>
            </w:r>
          </w:p>
        </w:tc>
      </w:tr>
      <w:tr>
        <w:trPr/>
        <w:tc>
          <w:tcPr>
            <w:tcW w:w="60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lang w:eastAsia="pt-BR"/>
              </w:rPr>
            </w:pPr>
            <w:r>
              <w:rPr>
                <w:rFonts w:eastAsia="Calibri"/>
                <w:sz w:val="20"/>
                <w:szCs w:val="20"/>
                <w:lang w:eastAsia="pt-BR"/>
              </w:rPr>
              <w:t>10/2011: Auditoria na Divisão de Almoxarifado.</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sz w:val="20"/>
                <w:szCs w:val="20"/>
              </w:rPr>
            </w:pPr>
            <w:r>
              <w:rPr>
                <w:rFonts w:eastAsia="Calibri" w:cs="Times New Roman"/>
                <w:sz w:val="20"/>
                <w:szCs w:val="20"/>
              </w:rPr>
              <w:t>202 H</w:t>
            </w:r>
          </w:p>
        </w:tc>
        <w:tc>
          <w:tcPr>
            <w:tcW w:w="14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lang w:eastAsia="pt-BR"/>
              </w:rPr>
            </w:pPr>
            <w:r>
              <w:rPr>
                <w:rFonts w:eastAsia="Calibri"/>
                <w:sz w:val="20"/>
                <w:szCs w:val="20"/>
                <w:lang w:eastAsia="pt-BR"/>
              </w:rPr>
              <w:t>Não realizada</w:t>
            </w:r>
          </w:p>
          <w:p>
            <w:pPr>
              <w:pStyle w:val="Standard"/>
              <w:jc w:val="both"/>
              <w:rPr>
                <w:rFonts w:eastAsia="Calibri" w:cs="Times New Roman"/>
                <w:sz w:val="20"/>
                <w:szCs w:val="20"/>
              </w:rPr>
            </w:pPr>
            <w:r>
              <w:rPr>
                <w:rFonts w:eastAsia="Calibri" w:cs="Times New Roman"/>
                <w:sz w:val="20"/>
                <w:szCs w:val="20"/>
              </w:rPr>
            </w:r>
          </w:p>
        </w:tc>
      </w:tr>
      <w:tr>
        <w:trPr/>
        <w:tc>
          <w:tcPr>
            <w:tcW w:w="60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lang w:eastAsia="pt-BR"/>
              </w:rPr>
            </w:pPr>
            <w:r>
              <w:rPr>
                <w:rFonts w:eastAsia="Calibri"/>
                <w:sz w:val="20"/>
                <w:szCs w:val="20"/>
                <w:lang w:eastAsia="pt-BR"/>
              </w:rPr>
              <w:t>12/2011: Análise dos processos de dispensa de licitação para compras, serviços e obras</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sz w:val="20"/>
                <w:szCs w:val="20"/>
              </w:rPr>
            </w:pPr>
            <w:r>
              <w:rPr>
                <w:rFonts w:eastAsia="Calibri" w:cs="Times New Roman"/>
                <w:sz w:val="20"/>
                <w:szCs w:val="20"/>
              </w:rPr>
              <w:t>104 H</w:t>
            </w:r>
          </w:p>
        </w:tc>
        <w:tc>
          <w:tcPr>
            <w:tcW w:w="14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lang w:eastAsia="pt-BR"/>
              </w:rPr>
            </w:pPr>
            <w:r>
              <w:rPr>
                <w:rFonts w:eastAsia="Calibri"/>
                <w:sz w:val="20"/>
                <w:szCs w:val="20"/>
                <w:lang w:eastAsia="pt-BR"/>
              </w:rPr>
              <w:t>Não realizada</w:t>
            </w:r>
          </w:p>
          <w:p>
            <w:pPr>
              <w:pStyle w:val="Standard"/>
              <w:jc w:val="both"/>
              <w:rPr>
                <w:rFonts w:eastAsia="Calibri" w:cs="Times New Roman"/>
                <w:sz w:val="20"/>
                <w:szCs w:val="20"/>
              </w:rPr>
            </w:pPr>
            <w:r>
              <w:rPr>
                <w:rFonts w:eastAsia="Calibri" w:cs="Times New Roman"/>
                <w:sz w:val="20"/>
                <w:szCs w:val="20"/>
              </w:rPr>
            </w:r>
          </w:p>
        </w:tc>
      </w:tr>
      <w:tr>
        <w:trPr/>
        <w:tc>
          <w:tcPr>
            <w:tcW w:w="60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lang w:eastAsia="pt-BR"/>
              </w:rPr>
            </w:pPr>
            <w:r>
              <w:rPr>
                <w:rFonts w:eastAsia="Calibri"/>
                <w:sz w:val="20"/>
                <w:szCs w:val="20"/>
                <w:lang w:eastAsia="pt-BR"/>
              </w:rPr>
              <w:t>16/2011: Acompanhamento e avaliação da metodologia de planejamento, realização e execução das metas físicas e financeiras dos programas e ações da UFRPE.</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sz w:val="20"/>
                <w:szCs w:val="20"/>
              </w:rPr>
            </w:pPr>
            <w:r>
              <w:rPr>
                <w:rFonts w:eastAsia="Calibri" w:cs="Times New Roman"/>
                <w:sz w:val="20"/>
                <w:szCs w:val="20"/>
              </w:rPr>
              <w:t>50 H</w:t>
            </w:r>
          </w:p>
        </w:tc>
        <w:tc>
          <w:tcPr>
            <w:tcW w:w="14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lang w:eastAsia="pt-BR"/>
              </w:rPr>
            </w:pPr>
            <w:r>
              <w:rPr>
                <w:rFonts w:eastAsia="Calibri"/>
                <w:sz w:val="20"/>
                <w:szCs w:val="20"/>
                <w:lang w:eastAsia="pt-BR"/>
              </w:rPr>
              <w:t>Não realizada</w:t>
            </w:r>
          </w:p>
          <w:p>
            <w:pPr>
              <w:pStyle w:val="Standard"/>
              <w:jc w:val="both"/>
              <w:rPr>
                <w:rFonts w:eastAsia="Calibri" w:cs="Times New Roman"/>
                <w:sz w:val="20"/>
                <w:szCs w:val="20"/>
              </w:rPr>
            </w:pPr>
            <w:r>
              <w:rPr>
                <w:rFonts w:eastAsia="Calibri" w:cs="Times New Roman"/>
                <w:sz w:val="20"/>
                <w:szCs w:val="20"/>
              </w:rPr>
            </w:r>
          </w:p>
        </w:tc>
      </w:tr>
      <w:tr>
        <w:trPr/>
        <w:tc>
          <w:tcPr>
            <w:tcW w:w="60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lang w:eastAsia="pt-BR"/>
              </w:rPr>
            </w:pPr>
            <w:r>
              <w:rPr>
                <w:rFonts w:eastAsia="Calibri"/>
                <w:sz w:val="20"/>
                <w:szCs w:val="20"/>
                <w:lang w:eastAsia="pt-BR"/>
              </w:rPr>
              <w:t>18/2011: Verificar a regularidade dos atos de concessão de aposentadorias e pensões.</w:t>
            </w:r>
          </w:p>
        </w:tc>
        <w:tc>
          <w:tcPr>
            <w:tcW w:w="9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sz w:val="20"/>
                <w:szCs w:val="20"/>
              </w:rPr>
            </w:pPr>
            <w:r>
              <w:rPr>
                <w:rFonts w:eastAsia="Calibri" w:cs="Times New Roman"/>
                <w:sz w:val="20"/>
                <w:szCs w:val="20"/>
              </w:rPr>
              <w:t>50 H</w:t>
            </w:r>
          </w:p>
        </w:tc>
        <w:tc>
          <w:tcPr>
            <w:tcW w:w="14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lang w:eastAsia="pt-BR"/>
              </w:rPr>
            </w:pPr>
            <w:r>
              <w:rPr>
                <w:rFonts w:eastAsia="Calibri"/>
                <w:sz w:val="20"/>
                <w:szCs w:val="20"/>
                <w:lang w:eastAsia="pt-BR"/>
              </w:rPr>
              <w:t>Não realizada</w:t>
            </w:r>
          </w:p>
          <w:p>
            <w:pPr>
              <w:pStyle w:val="Standard"/>
              <w:jc w:val="both"/>
              <w:rPr>
                <w:rFonts w:eastAsia="Calibri" w:cs="Times New Roman"/>
                <w:sz w:val="20"/>
                <w:szCs w:val="20"/>
              </w:rPr>
            </w:pPr>
            <w:r>
              <w:rPr>
                <w:rFonts w:eastAsia="Calibri" w:cs="Times New Roman"/>
                <w:sz w:val="20"/>
                <w:szCs w:val="20"/>
              </w:rPr>
            </w:r>
          </w:p>
        </w:tc>
      </w:tr>
    </w:tbl>
    <w:p>
      <w:pPr>
        <w:pStyle w:val="Standard"/>
        <w:jc w:val="both"/>
        <w:rPr/>
      </w:pPr>
      <w:r>
        <w:rPr/>
      </w:r>
    </w:p>
    <w:p>
      <w:pPr>
        <w:pStyle w:val="Standard"/>
        <w:jc w:val="both"/>
        <w:rPr/>
      </w:pPr>
      <w:r>
        <w:rPr/>
        <w:t>b) PAINT 2012 (item 1.1.14 do Relatório 201211364).</w:t>
      </w:r>
    </w:p>
    <w:p>
      <w:pPr>
        <w:pStyle w:val="Standard"/>
        <w:jc w:val="both"/>
        <w:rPr/>
      </w:pPr>
      <w:r>
        <w:rPr/>
      </w:r>
    </w:p>
    <w:tbl>
      <w:tblPr>
        <w:tblW w:w="8505"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noVBand="1" w:val="04a0" w:noHBand="0" w:lastColumn="0" w:firstColumn="1" w:lastRow="0" w:firstRow="1"/>
      </w:tblPr>
      <w:tblGrid>
        <w:gridCol w:w="6237"/>
        <w:gridCol w:w="779"/>
        <w:gridCol w:w="1489"/>
      </w:tblGrid>
      <w:tr>
        <w:trPr/>
        <w:tc>
          <w:tcPr>
            <w:tcW w:w="62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center"/>
              <w:rPr>
                <w:rFonts w:eastAsia="Calibri" w:cs="Times New Roman"/>
                <w:sz w:val="20"/>
                <w:szCs w:val="20"/>
              </w:rPr>
            </w:pPr>
            <w:r>
              <w:rPr>
                <w:rFonts w:eastAsia="Calibri" w:cs="Times New Roman"/>
                <w:sz w:val="20"/>
                <w:szCs w:val="20"/>
              </w:rPr>
              <w:t>Atividade</w:t>
            </w:r>
          </w:p>
        </w:tc>
        <w:tc>
          <w:tcPr>
            <w:tcW w:w="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center"/>
              <w:rPr>
                <w:rFonts w:eastAsia="Calibri" w:cs="Times New Roman"/>
                <w:sz w:val="20"/>
                <w:szCs w:val="20"/>
              </w:rPr>
            </w:pPr>
            <w:r>
              <w:rPr>
                <w:rFonts w:eastAsia="Calibri" w:cs="Times New Roman"/>
                <w:sz w:val="20"/>
                <w:szCs w:val="20"/>
              </w:rPr>
              <w:t>HH</w:t>
            </w:r>
          </w:p>
        </w:tc>
        <w:tc>
          <w:tcPr>
            <w:tcW w:w="1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center"/>
              <w:rPr>
                <w:rFonts w:eastAsia="Calibri" w:cs="Times New Roman"/>
                <w:sz w:val="20"/>
                <w:szCs w:val="20"/>
              </w:rPr>
            </w:pPr>
            <w:r>
              <w:rPr>
                <w:rFonts w:eastAsia="Calibri" w:cs="Times New Roman"/>
                <w:sz w:val="20"/>
                <w:szCs w:val="20"/>
              </w:rPr>
              <w:t>Situação</w:t>
            </w:r>
          </w:p>
        </w:tc>
      </w:tr>
      <w:tr>
        <w:trPr/>
        <w:tc>
          <w:tcPr>
            <w:tcW w:w="62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rFonts w:eastAsia="Calibri"/>
                <w:sz w:val="20"/>
                <w:szCs w:val="20"/>
              </w:rPr>
            </w:pPr>
            <w:r>
              <w:rPr>
                <w:sz w:val="20"/>
                <w:szCs w:val="20"/>
                <w:lang w:eastAsia="pt-BR"/>
              </w:rPr>
              <w:t>Análise das cessões de imóveis da UFRPE a terceiros e dos controles patrimoniais de Bens de Uso Especial da União no SPIUnet.</w:t>
            </w:r>
          </w:p>
        </w:tc>
        <w:tc>
          <w:tcPr>
            <w:tcW w:w="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sz w:val="20"/>
                <w:szCs w:val="20"/>
              </w:rPr>
            </w:pPr>
            <w:r>
              <w:rPr>
                <w:rFonts w:eastAsia="Calibri" w:cs="Times New Roman"/>
                <w:sz w:val="20"/>
                <w:szCs w:val="20"/>
              </w:rPr>
              <w:t>595</w:t>
            </w:r>
          </w:p>
        </w:tc>
        <w:tc>
          <w:tcPr>
            <w:tcW w:w="1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lang w:eastAsia="pt-BR"/>
              </w:rPr>
            </w:pPr>
            <w:r>
              <w:rPr>
                <w:rFonts w:eastAsia="Calibri"/>
                <w:sz w:val="20"/>
                <w:szCs w:val="20"/>
                <w:lang w:eastAsia="pt-BR"/>
              </w:rPr>
              <w:t>Não realizada</w:t>
            </w:r>
          </w:p>
          <w:p>
            <w:pPr>
              <w:pStyle w:val="Standard"/>
              <w:jc w:val="both"/>
              <w:rPr>
                <w:rFonts w:eastAsia="Calibri" w:cs="Times New Roman"/>
                <w:sz w:val="20"/>
                <w:szCs w:val="20"/>
              </w:rPr>
            </w:pPr>
            <w:r>
              <w:rPr>
                <w:rFonts w:eastAsia="Calibri" w:cs="Times New Roman"/>
                <w:sz w:val="20"/>
                <w:szCs w:val="20"/>
              </w:rPr>
            </w:r>
          </w:p>
        </w:tc>
      </w:tr>
      <w:tr>
        <w:trPr/>
        <w:tc>
          <w:tcPr>
            <w:tcW w:w="62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0"/>
                <w:szCs w:val="20"/>
                <w:lang w:eastAsia="pt-BR"/>
              </w:rPr>
            </w:pPr>
            <w:r>
              <w:rPr>
                <w:sz w:val="20"/>
                <w:szCs w:val="20"/>
                <w:lang w:eastAsia="pt-BR"/>
              </w:rPr>
              <w:t>Exame dos casos relativos à Acumulação de Cargos.</w:t>
            </w:r>
          </w:p>
        </w:tc>
        <w:tc>
          <w:tcPr>
            <w:tcW w:w="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sz w:val="20"/>
                <w:szCs w:val="20"/>
              </w:rPr>
            </w:pPr>
            <w:r>
              <w:rPr>
                <w:rFonts w:eastAsia="Calibri" w:cs="Times New Roman"/>
                <w:sz w:val="20"/>
                <w:szCs w:val="20"/>
              </w:rPr>
              <w:t>400</w:t>
            </w:r>
          </w:p>
        </w:tc>
        <w:tc>
          <w:tcPr>
            <w:tcW w:w="1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lang w:eastAsia="pt-BR"/>
              </w:rPr>
            </w:pPr>
            <w:r>
              <w:rPr>
                <w:rFonts w:eastAsia="Calibri"/>
                <w:sz w:val="20"/>
                <w:szCs w:val="20"/>
                <w:lang w:eastAsia="pt-BR"/>
              </w:rPr>
              <w:t>Não realizada</w:t>
            </w:r>
          </w:p>
          <w:p>
            <w:pPr>
              <w:pStyle w:val="Normal"/>
              <w:rPr>
                <w:rFonts w:eastAsia="Calibri"/>
                <w:sz w:val="20"/>
                <w:szCs w:val="20"/>
                <w:lang w:eastAsia="pt-BR"/>
              </w:rPr>
            </w:pPr>
            <w:r>
              <w:rPr>
                <w:rFonts w:eastAsia="Calibri"/>
                <w:sz w:val="20"/>
                <w:szCs w:val="20"/>
                <w:lang w:eastAsia="pt-BR"/>
              </w:rPr>
            </w:r>
          </w:p>
        </w:tc>
      </w:tr>
      <w:tr>
        <w:trPr/>
        <w:tc>
          <w:tcPr>
            <w:tcW w:w="62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0"/>
                <w:szCs w:val="20"/>
                <w:lang w:eastAsia="pt-BR"/>
              </w:rPr>
            </w:pPr>
            <w:r>
              <w:rPr>
                <w:sz w:val="20"/>
                <w:szCs w:val="20"/>
                <w:lang w:eastAsia="pt-BR"/>
              </w:rPr>
              <w:t>Avaliação da análise dos indicadores de Desempenho utilizados</w:t>
            </w:r>
          </w:p>
          <w:p>
            <w:pPr>
              <w:pStyle w:val="Normal"/>
              <w:jc w:val="both"/>
              <w:rPr>
                <w:sz w:val="20"/>
                <w:szCs w:val="20"/>
                <w:lang w:eastAsia="pt-BR"/>
              </w:rPr>
            </w:pPr>
            <w:r>
              <w:rPr>
                <w:sz w:val="20"/>
                <w:szCs w:val="20"/>
                <w:lang w:eastAsia="pt-BR"/>
              </w:rPr>
              <w:t>pela Gestão.</w:t>
            </w:r>
          </w:p>
        </w:tc>
        <w:tc>
          <w:tcPr>
            <w:tcW w:w="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sz w:val="20"/>
                <w:szCs w:val="20"/>
              </w:rPr>
            </w:pPr>
            <w:r>
              <w:rPr>
                <w:rFonts w:eastAsia="Calibri" w:cs="Times New Roman"/>
                <w:sz w:val="20"/>
                <w:szCs w:val="20"/>
              </w:rPr>
              <w:t>302</w:t>
            </w:r>
          </w:p>
        </w:tc>
        <w:tc>
          <w:tcPr>
            <w:tcW w:w="1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lang w:eastAsia="pt-BR"/>
              </w:rPr>
            </w:pPr>
            <w:r>
              <w:rPr>
                <w:rFonts w:eastAsia="Calibri"/>
                <w:sz w:val="20"/>
                <w:szCs w:val="20"/>
                <w:lang w:eastAsia="pt-BR"/>
              </w:rPr>
              <w:t>Não realizada</w:t>
            </w:r>
          </w:p>
          <w:p>
            <w:pPr>
              <w:pStyle w:val="Normal"/>
              <w:rPr>
                <w:rFonts w:eastAsia="Calibri"/>
                <w:sz w:val="20"/>
                <w:szCs w:val="20"/>
                <w:lang w:eastAsia="pt-BR"/>
              </w:rPr>
            </w:pPr>
            <w:r>
              <w:rPr>
                <w:rFonts w:eastAsia="Calibri"/>
                <w:sz w:val="20"/>
                <w:szCs w:val="20"/>
                <w:lang w:eastAsia="pt-BR"/>
              </w:rPr>
            </w:r>
          </w:p>
        </w:tc>
      </w:tr>
      <w:tr>
        <w:trPr/>
        <w:tc>
          <w:tcPr>
            <w:tcW w:w="62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0"/>
                <w:szCs w:val="20"/>
                <w:lang w:eastAsia="pt-BR"/>
              </w:rPr>
            </w:pPr>
            <w:r>
              <w:rPr>
                <w:sz w:val="20"/>
                <w:szCs w:val="20"/>
                <w:lang w:eastAsia="pt-BR"/>
              </w:rPr>
              <w:t>Auditoria em processos de cessão de servidores</w:t>
            </w:r>
          </w:p>
        </w:tc>
        <w:tc>
          <w:tcPr>
            <w:tcW w:w="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sz w:val="20"/>
                <w:szCs w:val="20"/>
              </w:rPr>
            </w:pPr>
            <w:r>
              <w:rPr>
                <w:rFonts w:eastAsia="Calibri" w:cs="Times New Roman"/>
                <w:sz w:val="20"/>
                <w:szCs w:val="20"/>
              </w:rPr>
              <w:t>400</w:t>
            </w:r>
          </w:p>
        </w:tc>
        <w:tc>
          <w:tcPr>
            <w:tcW w:w="1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lang w:eastAsia="pt-BR"/>
              </w:rPr>
            </w:pPr>
            <w:r>
              <w:rPr>
                <w:rFonts w:eastAsia="Calibri"/>
                <w:sz w:val="20"/>
                <w:szCs w:val="20"/>
                <w:lang w:eastAsia="pt-BR"/>
              </w:rPr>
              <w:t>Não realizada</w:t>
            </w:r>
          </w:p>
          <w:p>
            <w:pPr>
              <w:pStyle w:val="Normal"/>
              <w:rPr>
                <w:rFonts w:eastAsia="Calibri"/>
                <w:sz w:val="20"/>
                <w:szCs w:val="20"/>
                <w:lang w:eastAsia="pt-BR"/>
              </w:rPr>
            </w:pPr>
            <w:r>
              <w:rPr>
                <w:rFonts w:eastAsia="Calibri"/>
                <w:sz w:val="20"/>
                <w:szCs w:val="20"/>
                <w:lang w:eastAsia="pt-BR"/>
              </w:rPr>
            </w:r>
          </w:p>
        </w:tc>
      </w:tr>
      <w:tr>
        <w:trPr/>
        <w:tc>
          <w:tcPr>
            <w:tcW w:w="62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0"/>
                <w:szCs w:val="20"/>
                <w:lang w:eastAsia="pt-BR"/>
              </w:rPr>
            </w:pPr>
            <w:r>
              <w:rPr>
                <w:sz w:val="20"/>
                <w:szCs w:val="20"/>
                <w:lang w:eastAsia="pt-BR"/>
              </w:rPr>
              <w:t>Auditoria nas despesas de Restos a Pagar não Processados.</w:t>
            </w:r>
          </w:p>
        </w:tc>
        <w:tc>
          <w:tcPr>
            <w:tcW w:w="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sz w:val="20"/>
                <w:szCs w:val="20"/>
              </w:rPr>
            </w:pPr>
            <w:r>
              <w:rPr>
                <w:rFonts w:eastAsia="Calibri" w:cs="Times New Roman"/>
                <w:sz w:val="20"/>
                <w:szCs w:val="20"/>
              </w:rPr>
              <w:t>512</w:t>
            </w:r>
          </w:p>
        </w:tc>
        <w:tc>
          <w:tcPr>
            <w:tcW w:w="1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lang w:eastAsia="pt-BR"/>
              </w:rPr>
            </w:pPr>
            <w:r>
              <w:rPr>
                <w:rFonts w:eastAsia="Calibri"/>
                <w:sz w:val="20"/>
                <w:szCs w:val="20"/>
                <w:lang w:eastAsia="pt-BR"/>
              </w:rPr>
              <w:t>Não realizada</w:t>
            </w:r>
          </w:p>
          <w:p>
            <w:pPr>
              <w:pStyle w:val="Normal"/>
              <w:rPr>
                <w:rFonts w:eastAsia="Calibri"/>
                <w:sz w:val="20"/>
                <w:szCs w:val="20"/>
                <w:lang w:eastAsia="pt-BR"/>
              </w:rPr>
            </w:pPr>
            <w:r>
              <w:rPr>
                <w:rFonts w:eastAsia="Calibri"/>
                <w:sz w:val="20"/>
                <w:szCs w:val="20"/>
                <w:lang w:eastAsia="pt-BR"/>
              </w:rPr>
            </w:r>
          </w:p>
        </w:tc>
      </w:tr>
      <w:tr>
        <w:trPr/>
        <w:tc>
          <w:tcPr>
            <w:tcW w:w="62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sz w:val="20"/>
                <w:szCs w:val="20"/>
                <w:lang w:eastAsia="pt-BR"/>
              </w:rPr>
            </w:pPr>
            <w:r>
              <w:rPr>
                <w:sz w:val="20"/>
                <w:szCs w:val="20"/>
                <w:lang w:eastAsia="pt-BR"/>
              </w:rPr>
              <w:t>Acompanhamento e avaliação da metodologia de planejamento,realização e execução das metas físicas e financeiras dos programas e ações da UFRPE.</w:t>
            </w:r>
          </w:p>
        </w:tc>
        <w:tc>
          <w:tcPr>
            <w:tcW w:w="7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sz w:val="20"/>
                <w:szCs w:val="20"/>
              </w:rPr>
            </w:pPr>
            <w:r>
              <w:rPr>
                <w:rFonts w:eastAsia="Calibri" w:cs="Times New Roman"/>
                <w:sz w:val="20"/>
                <w:szCs w:val="20"/>
              </w:rPr>
              <w:t>383</w:t>
            </w:r>
          </w:p>
        </w:tc>
        <w:tc>
          <w:tcPr>
            <w:tcW w:w="14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lang w:eastAsia="pt-BR"/>
              </w:rPr>
            </w:pPr>
            <w:r>
              <w:rPr>
                <w:rFonts w:eastAsia="Calibri"/>
                <w:sz w:val="20"/>
                <w:szCs w:val="20"/>
                <w:lang w:eastAsia="pt-BR"/>
              </w:rPr>
              <w:t>Não realizada</w:t>
            </w:r>
          </w:p>
          <w:p>
            <w:pPr>
              <w:pStyle w:val="Normal"/>
              <w:rPr>
                <w:rFonts w:eastAsia="Calibri"/>
                <w:sz w:val="20"/>
                <w:szCs w:val="20"/>
                <w:lang w:eastAsia="pt-BR"/>
              </w:rPr>
            </w:pPr>
            <w:r>
              <w:rPr>
                <w:rFonts w:eastAsia="Calibri"/>
                <w:sz w:val="20"/>
                <w:szCs w:val="20"/>
                <w:lang w:eastAsia="pt-BR"/>
              </w:rPr>
            </w:r>
          </w:p>
        </w:tc>
      </w:tr>
    </w:tbl>
    <w:p>
      <w:pPr>
        <w:pStyle w:val="Standard"/>
        <w:jc w:val="both"/>
        <w:rPr/>
      </w:pPr>
      <w:r>
        <w:rPr/>
      </w:r>
    </w:p>
    <w:p>
      <w:pPr>
        <w:pStyle w:val="Standard"/>
        <w:jc w:val="both"/>
        <w:rPr/>
      </w:pPr>
      <w:r>
        <w:rPr/>
        <w:t>c) PAINT 2013 (item 1.1.1.4 do Relatório 201315652).</w:t>
      </w:r>
    </w:p>
    <w:p>
      <w:pPr>
        <w:pStyle w:val="Standard"/>
        <w:jc w:val="both"/>
        <w:rPr/>
      </w:pPr>
      <w:r>
        <w:rPr/>
      </w:r>
    </w:p>
    <w:tbl>
      <w:tblPr>
        <w:tblW w:w="8505"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noVBand="1" w:val="04a0" w:noHBand="0" w:lastColumn="0" w:firstColumn="1" w:lastRow="0" w:firstRow="1"/>
      </w:tblPr>
      <w:tblGrid>
        <w:gridCol w:w="6946"/>
        <w:gridCol w:w="1558"/>
      </w:tblGrid>
      <w:tr>
        <w:trPr/>
        <w:tc>
          <w:tcPr>
            <w:tcW w:w="69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sz w:val="20"/>
                <w:szCs w:val="20"/>
              </w:rPr>
            </w:pPr>
            <w:r>
              <w:rPr>
                <w:rFonts w:eastAsia="Calibri" w:cs="Times New Roman"/>
                <w:sz w:val="20"/>
                <w:szCs w:val="20"/>
              </w:rPr>
              <w:t>Atividade</w:t>
            </w:r>
          </w:p>
        </w:tc>
        <w:tc>
          <w:tcPr>
            <w:tcW w:w="1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sz w:val="20"/>
                <w:szCs w:val="20"/>
              </w:rPr>
            </w:pPr>
            <w:r>
              <w:rPr>
                <w:rFonts w:eastAsia="Calibri" w:cs="Times New Roman"/>
                <w:sz w:val="20"/>
                <w:szCs w:val="20"/>
              </w:rPr>
              <w:t>Situação</w:t>
            </w:r>
          </w:p>
        </w:tc>
      </w:tr>
      <w:tr>
        <w:trPr/>
        <w:tc>
          <w:tcPr>
            <w:tcW w:w="69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rPr>
            </w:pPr>
            <w:r>
              <w:rPr>
                <w:bCs/>
                <w:sz w:val="20"/>
                <w:szCs w:val="20"/>
              </w:rPr>
              <w:t>005/2013 - Exame dos Casos relativos à Acumulação de Cargos.</w:t>
            </w:r>
          </w:p>
        </w:tc>
        <w:tc>
          <w:tcPr>
            <w:tcW w:w="1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lang w:eastAsia="pt-BR"/>
              </w:rPr>
            </w:pPr>
            <w:r>
              <w:rPr>
                <w:rFonts w:eastAsia="Calibri"/>
                <w:sz w:val="20"/>
                <w:szCs w:val="20"/>
                <w:lang w:eastAsia="pt-BR"/>
              </w:rPr>
              <w:t>Não realizada</w:t>
            </w:r>
          </w:p>
          <w:p>
            <w:pPr>
              <w:pStyle w:val="Standard"/>
              <w:jc w:val="both"/>
              <w:rPr>
                <w:rFonts w:eastAsia="Calibri" w:cs="Times New Roman"/>
                <w:sz w:val="20"/>
                <w:szCs w:val="20"/>
              </w:rPr>
            </w:pPr>
            <w:r>
              <w:rPr>
                <w:rFonts w:eastAsia="Calibri" w:cs="Times New Roman"/>
                <w:sz w:val="20"/>
                <w:szCs w:val="20"/>
              </w:rPr>
            </w:r>
          </w:p>
        </w:tc>
      </w:tr>
      <w:tr>
        <w:trPr/>
        <w:tc>
          <w:tcPr>
            <w:tcW w:w="69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bCs/>
                <w:sz w:val="20"/>
                <w:szCs w:val="20"/>
                <w:shd w:fill="FFFF00" w:val="clear"/>
              </w:rPr>
            </w:pPr>
            <w:r>
              <w:rPr>
                <w:bCs/>
                <w:sz w:val="20"/>
                <w:szCs w:val="20"/>
              </w:rPr>
              <w:t>007/2013 - Acompanhamento e avaliação da metodologia de planejamento, realização e execução das metas físicas e financeiras dos programas e ações da UFRPE.</w:t>
            </w:r>
          </w:p>
        </w:tc>
        <w:tc>
          <w:tcPr>
            <w:tcW w:w="1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lang w:eastAsia="pt-BR"/>
              </w:rPr>
            </w:pPr>
            <w:r>
              <w:rPr>
                <w:rFonts w:eastAsia="Calibri"/>
                <w:sz w:val="20"/>
                <w:szCs w:val="20"/>
                <w:lang w:eastAsia="pt-BR"/>
              </w:rPr>
              <w:t>Não realizada</w:t>
            </w:r>
          </w:p>
          <w:p>
            <w:pPr>
              <w:pStyle w:val="Normal"/>
              <w:rPr>
                <w:rFonts w:eastAsia="Calibri"/>
                <w:sz w:val="20"/>
                <w:szCs w:val="20"/>
                <w:lang w:eastAsia="pt-BR"/>
              </w:rPr>
            </w:pPr>
            <w:r>
              <w:rPr>
                <w:rFonts w:eastAsia="Calibri"/>
                <w:sz w:val="20"/>
                <w:szCs w:val="20"/>
                <w:lang w:eastAsia="pt-BR"/>
              </w:rPr>
            </w:r>
          </w:p>
        </w:tc>
      </w:tr>
      <w:tr>
        <w:trPr/>
        <w:tc>
          <w:tcPr>
            <w:tcW w:w="69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bCs/>
                <w:sz w:val="20"/>
                <w:szCs w:val="20"/>
                <w:shd w:fill="FFFF00" w:val="clear"/>
              </w:rPr>
            </w:pPr>
            <w:r>
              <w:rPr>
                <w:bCs/>
                <w:sz w:val="20"/>
                <w:szCs w:val="20"/>
              </w:rPr>
              <w:t>008/2013 - Auditoria na folha de pagamento.</w:t>
            </w:r>
          </w:p>
        </w:tc>
        <w:tc>
          <w:tcPr>
            <w:tcW w:w="1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lang w:eastAsia="pt-BR"/>
              </w:rPr>
            </w:pPr>
            <w:r>
              <w:rPr>
                <w:rFonts w:eastAsia="Calibri"/>
                <w:sz w:val="20"/>
                <w:szCs w:val="20"/>
                <w:lang w:eastAsia="pt-BR"/>
              </w:rPr>
              <w:t>Não realizada</w:t>
            </w:r>
          </w:p>
          <w:p>
            <w:pPr>
              <w:pStyle w:val="Normal"/>
              <w:rPr>
                <w:rFonts w:eastAsia="Calibri"/>
                <w:sz w:val="20"/>
                <w:szCs w:val="20"/>
                <w:lang w:eastAsia="pt-BR"/>
              </w:rPr>
            </w:pPr>
            <w:r>
              <w:rPr>
                <w:rFonts w:eastAsia="Calibri"/>
                <w:sz w:val="20"/>
                <w:szCs w:val="20"/>
                <w:lang w:eastAsia="pt-BR"/>
              </w:rPr>
            </w:r>
          </w:p>
        </w:tc>
      </w:tr>
      <w:tr>
        <w:trPr/>
        <w:tc>
          <w:tcPr>
            <w:tcW w:w="69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bCs/>
                <w:sz w:val="20"/>
                <w:szCs w:val="20"/>
                <w:shd w:fill="FFFF00" w:val="clear"/>
              </w:rPr>
            </w:pPr>
            <w:r>
              <w:rPr>
                <w:bCs/>
                <w:sz w:val="20"/>
                <w:szCs w:val="20"/>
              </w:rPr>
              <w:t>015/2013 - Avaliação da regularidade dos processos licitatórios realizados pela UFRPE.</w:t>
            </w:r>
          </w:p>
        </w:tc>
        <w:tc>
          <w:tcPr>
            <w:tcW w:w="1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lang w:eastAsia="pt-BR"/>
              </w:rPr>
            </w:pPr>
            <w:r>
              <w:rPr>
                <w:rFonts w:eastAsia="Calibri"/>
                <w:sz w:val="20"/>
                <w:szCs w:val="20"/>
                <w:lang w:eastAsia="pt-BR"/>
              </w:rPr>
              <w:t>Não realizada</w:t>
            </w:r>
          </w:p>
          <w:p>
            <w:pPr>
              <w:pStyle w:val="Normal"/>
              <w:rPr>
                <w:rFonts w:eastAsia="Calibri"/>
                <w:sz w:val="20"/>
                <w:szCs w:val="20"/>
                <w:lang w:eastAsia="pt-BR"/>
              </w:rPr>
            </w:pPr>
            <w:r>
              <w:rPr>
                <w:rFonts w:eastAsia="Calibri"/>
                <w:sz w:val="20"/>
                <w:szCs w:val="20"/>
                <w:lang w:eastAsia="pt-BR"/>
              </w:rPr>
            </w:r>
          </w:p>
        </w:tc>
      </w:tr>
      <w:tr>
        <w:trPr/>
        <w:tc>
          <w:tcPr>
            <w:tcW w:w="69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bCs/>
                <w:sz w:val="20"/>
                <w:szCs w:val="20"/>
                <w:shd w:fill="FFFF00" w:val="clear"/>
              </w:rPr>
            </w:pPr>
            <w:r>
              <w:rPr>
                <w:bCs/>
                <w:sz w:val="20"/>
                <w:szCs w:val="20"/>
              </w:rPr>
              <w:t>016/2013 - Avaliação da gestão no uso dos cartões de pagamento do governo federal nas despesas decorrentes de Suprimentos de Fundos.</w:t>
            </w:r>
          </w:p>
        </w:tc>
        <w:tc>
          <w:tcPr>
            <w:tcW w:w="15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lang w:eastAsia="pt-BR"/>
              </w:rPr>
            </w:pPr>
            <w:r>
              <w:rPr>
                <w:rFonts w:eastAsia="Calibri"/>
                <w:sz w:val="20"/>
                <w:szCs w:val="20"/>
                <w:lang w:eastAsia="pt-BR"/>
              </w:rPr>
              <w:t>Não realizada</w:t>
            </w:r>
          </w:p>
          <w:p>
            <w:pPr>
              <w:pStyle w:val="Normal"/>
              <w:rPr>
                <w:rFonts w:eastAsia="Calibri"/>
                <w:sz w:val="20"/>
                <w:szCs w:val="20"/>
                <w:lang w:eastAsia="pt-BR"/>
              </w:rPr>
            </w:pPr>
            <w:r>
              <w:rPr>
                <w:rFonts w:eastAsia="Calibri"/>
                <w:sz w:val="20"/>
                <w:szCs w:val="20"/>
                <w:lang w:eastAsia="pt-BR"/>
              </w:rPr>
            </w:r>
          </w:p>
        </w:tc>
      </w:tr>
    </w:tbl>
    <w:p>
      <w:pPr>
        <w:pStyle w:val="Standard"/>
        <w:rPr>
          <w:sz w:val="22"/>
          <w:szCs w:val="22"/>
        </w:rPr>
      </w:pPr>
      <w:r>
        <w:rPr>
          <w:sz w:val="22"/>
          <w:szCs w:val="22"/>
        </w:rPr>
      </w:r>
    </w:p>
    <w:p>
      <w:pPr>
        <w:pStyle w:val="Standard"/>
        <w:jc w:val="both"/>
        <w:rPr/>
      </w:pPr>
      <w:r>
        <w:rPr/>
        <w:t>d) PAINT 2014 (item 1.1.1.4 do Relatório 201315652).</w:t>
      </w:r>
    </w:p>
    <w:p>
      <w:pPr>
        <w:pStyle w:val="Standard"/>
        <w:rPr>
          <w:sz w:val="22"/>
          <w:szCs w:val="22"/>
        </w:rPr>
      </w:pPr>
      <w:r>
        <w:rPr>
          <w:sz w:val="22"/>
          <w:szCs w:val="22"/>
        </w:rPr>
      </w:r>
    </w:p>
    <w:tbl>
      <w:tblPr>
        <w:tblW w:w="8505"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noVBand="1" w:val="04a0" w:noHBand="0" w:lastColumn="0" w:firstColumn="1" w:lastRow="0" w:firstRow="1"/>
      </w:tblPr>
      <w:tblGrid>
        <w:gridCol w:w="7020"/>
        <w:gridCol w:w="1484"/>
      </w:tblGrid>
      <w:tr>
        <w:trPr/>
        <w:tc>
          <w:tcPr>
            <w:tcW w:w="7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sz w:val="20"/>
                <w:szCs w:val="20"/>
              </w:rPr>
            </w:pPr>
            <w:r>
              <w:rPr>
                <w:rFonts w:eastAsia="Calibri" w:cs="Times New Roman"/>
                <w:sz w:val="20"/>
                <w:szCs w:val="20"/>
              </w:rPr>
              <w:t>Atividade</w:t>
            </w:r>
          </w:p>
        </w:tc>
        <w:tc>
          <w:tcPr>
            <w:tcW w:w="14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sz w:val="20"/>
                <w:szCs w:val="20"/>
              </w:rPr>
            </w:pPr>
            <w:r>
              <w:rPr>
                <w:rFonts w:eastAsia="Calibri" w:cs="Times New Roman"/>
                <w:sz w:val="20"/>
                <w:szCs w:val="20"/>
              </w:rPr>
              <w:t>Situação</w:t>
            </w:r>
          </w:p>
        </w:tc>
      </w:tr>
      <w:tr>
        <w:trPr/>
        <w:tc>
          <w:tcPr>
            <w:tcW w:w="7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rPr>
            </w:pPr>
            <w:r>
              <w:rPr>
                <w:bCs/>
                <w:sz w:val="20"/>
                <w:szCs w:val="20"/>
              </w:rPr>
              <w:t>12/2014 - Acompanhamento e avaliação da metodologia de planejamento, realização e execução das metas físicas e financeiras dos programas e ações da UFRPE.</w:t>
            </w:r>
          </w:p>
        </w:tc>
        <w:tc>
          <w:tcPr>
            <w:tcW w:w="14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lang w:eastAsia="pt-BR"/>
              </w:rPr>
            </w:pPr>
            <w:r>
              <w:rPr>
                <w:rFonts w:eastAsia="Calibri"/>
                <w:sz w:val="20"/>
                <w:szCs w:val="20"/>
                <w:lang w:eastAsia="pt-BR"/>
              </w:rPr>
              <w:t>Não realizada</w:t>
            </w:r>
          </w:p>
          <w:p>
            <w:pPr>
              <w:pStyle w:val="Standard"/>
              <w:jc w:val="both"/>
              <w:rPr>
                <w:rFonts w:eastAsia="Calibri" w:cs="Times New Roman"/>
                <w:sz w:val="20"/>
                <w:szCs w:val="20"/>
              </w:rPr>
            </w:pPr>
            <w:r>
              <w:rPr>
                <w:rFonts w:eastAsia="Calibri" w:cs="Times New Roman"/>
                <w:sz w:val="20"/>
                <w:szCs w:val="20"/>
              </w:rPr>
            </w:r>
          </w:p>
        </w:tc>
      </w:tr>
      <w:tr>
        <w:trPr/>
        <w:tc>
          <w:tcPr>
            <w:tcW w:w="70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bCs/>
                <w:sz w:val="20"/>
                <w:szCs w:val="20"/>
                <w:shd w:fill="FFFF00" w:val="clear"/>
              </w:rPr>
            </w:pPr>
            <w:r>
              <w:rPr>
                <w:bCs/>
                <w:sz w:val="20"/>
                <w:szCs w:val="20"/>
              </w:rPr>
              <w:t>13/2014 - Auditoria na folha de pagamento.</w:t>
            </w:r>
          </w:p>
        </w:tc>
        <w:tc>
          <w:tcPr>
            <w:tcW w:w="14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eastAsia="Calibri"/>
                <w:sz w:val="20"/>
                <w:szCs w:val="20"/>
                <w:lang w:eastAsia="pt-BR"/>
              </w:rPr>
            </w:pPr>
            <w:r>
              <w:rPr>
                <w:rFonts w:eastAsia="Calibri"/>
                <w:sz w:val="20"/>
                <w:szCs w:val="20"/>
                <w:lang w:eastAsia="pt-BR"/>
              </w:rPr>
              <w:t>Não realizada</w:t>
            </w:r>
          </w:p>
          <w:p>
            <w:pPr>
              <w:pStyle w:val="Standard"/>
              <w:jc w:val="both"/>
              <w:rPr>
                <w:rFonts w:eastAsia="Calibri" w:cs="Times New Roman"/>
                <w:sz w:val="20"/>
                <w:szCs w:val="20"/>
              </w:rPr>
            </w:pPr>
            <w:r>
              <w:rPr>
                <w:rFonts w:eastAsia="Calibri" w:cs="Times New Roman"/>
                <w:sz w:val="20"/>
                <w:szCs w:val="20"/>
              </w:rPr>
            </w:r>
          </w:p>
        </w:tc>
      </w:tr>
    </w:tbl>
    <w:p>
      <w:pPr>
        <w:pStyle w:val="Standard"/>
        <w:jc w:val="both"/>
        <w:rPr/>
      </w:pPr>
      <w:r>
        <w:rPr/>
      </w:r>
    </w:p>
    <w:p>
      <w:pPr>
        <w:pStyle w:val="Standard"/>
        <w:jc w:val="both"/>
        <w:rPr>
          <w:color w:val="000000"/>
        </w:rPr>
      </w:pPr>
      <w:r>
        <w:rPr/>
        <w:t>e) PAINT 2015 – Pendentes de realização no momento de avaliação da execução do PAINT (outubro de 2015), conforme Ofício nº 13/2015 – AUDIN, de 16 de outubro de 2015.</w:t>
      </w:r>
    </w:p>
    <w:p>
      <w:pPr>
        <w:pStyle w:val="Textbody"/>
        <w:jc w:val="both"/>
        <w:rPr>
          <w:color w:val="000000"/>
        </w:rPr>
      </w:pPr>
      <w:r>
        <w:rPr>
          <w:color w:val="000000"/>
        </w:rPr>
      </w:r>
    </w:p>
    <w:tbl>
      <w:tblPr>
        <w:tblW w:w="8505" w:type="dxa"/>
        <w:jc w:val="left"/>
        <w:tblInd w:w="109"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Look w:noVBand="0" w:val="0000" w:noHBand="0" w:lastColumn="0" w:firstColumn="0" w:lastRow="0" w:firstRow="0"/>
      </w:tblPr>
      <w:tblGrid>
        <w:gridCol w:w="5670"/>
        <w:gridCol w:w="1701"/>
        <w:gridCol w:w="1134"/>
      </w:tblGrid>
      <w:tr>
        <w:trPr/>
        <w:tc>
          <w:tcPr>
            <w:tcW w:w="5670"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Default"/>
              <w:jc w:val="center"/>
              <w:rPr>
                <w:rFonts w:ascii="Times New Roman" w:hAnsi="Times New Roman" w:eastAsia="Calibri" w:cs="Times New Roman"/>
                <w:b/>
                <w:b/>
                <w:color w:val="00000A"/>
                <w:sz w:val="20"/>
                <w:szCs w:val="20"/>
                <w:lang w:eastAsia="en-US"/>
              </w:rPr>
            </w:pPr>
            <w:r>
              <w:rPr>
                <w:rFonts w:eastAsia="Calibri" w:cs="Times New Roman" w:ascii="Times New Roman" w:hAnsi="Times New Roman"/>
                <w:b/>
                <w:color w:val="00000A"/>
                <w:sz w:val="20"/>
                <w:szCs w:val="20"/>
                <w:lang w:eastAsia="en-US"/>
              </w:rPr>
              <w:t>Atividade</w:t>
            </w:r>
          </w:p>
        </w:tc>
        <w:tc>
          <w:tcPr>
            <w:tcW w:w="170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Default"/>
              <w:jc w:val="center"/>
              <w:rPr>
                <w:rFonts w:ascii="Times New Roman" w:hAnsi="Times New Roman" w:eastAsia="Calibri" w:cs="Times New Roman"/>
                <w:b/>
                <w:b/>
                <w:sz w:val="20"/>
                <w:szCs w:val="20"/>
              </w:rPr>
            </w:pPr>
            <w:r>
              <w:rPr>
                <w:rFonts w:eastAsia="Calibri" w:cs="Times New Roman" w:ascii="Times New Roman" w:hAnsi="Times New Roman"/>
                <w:b/>
                <w:color w:val="00000A"/>
                <w:sz w:val="20"/>
                <w:szCs w:val="20"/>
                <w:lang w:eastAsia="en-US"/>
              </w:rPr>
              <w:t>Prazo de Execução</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Standard"/>
              <w:jc w:val="both"/>
              <w:rPr>
                <w:rFonts w:cs="Times New Roman"/>
                <w:sz w:val="20"/>
                <w:szCs w:val="20"/>
              </w:rPr>
            </w:pPr>
            <w:r>
              <w:rPr>
                <w:rFonts w:eastAsia="Calibri" w:cs="Times New Roman"/>
                <w:b/>
                <w:sz w:val="20"/>
                <w:szCs w:val="20"/>
              </w:rPr>
              <w:t>Situação</w:t>
            </w:r>
          </w:p>
        </w:tc>
      </w:tr>
      <w:tr>
        <w:trPr/>
        <w:tc>
          <w:tcPr>
            <w:tcW w:w="5670"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Default"/>
              <w:jc w:val="both"/>
              <w:rPr>
                <w:rFonts w:ascii="Times New Roman" w:hAnsi="Times New Roman" w:eastAsia="Calibri" w:cs="Times New Roman"/>
                <w:color w:val="00000A"/>
                <w:sz w:val="20"/>
                <w:szCs w:val="20"/>
                <w:lang w:eastAsia="en-US"/>
              </w:rPr>
            </w:pPr>
            <w:r>
              <w:rPr>
                <w:rFonts w:eastAsia="Calibri" w:cs="Times New Roman" w:ascii="Times New Roman" w:hAnsi="Times New Roman"/>
                <w:color w:val="00000A"/>
                <w:sz w:val="20"/>
                <w:szCs w:val="20"/>
                <w:lang w:eastAsia="en-US"/>
              </w:rPr>
              <w:t xml:space="preserve">15/2015: Análise da sustentabilidade e eficiência no uso racional de recursos naturais </w:t>
            </w:r>
          </w:p>
        </w:tc>
        <w:tc>
          <w:tcPr>
            <w:tcW w:w="170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Default"/>
              <w:rPr>
                <w:rFonts w:ascii="Times New Roman" w:hAnsi="Times New Roman" w:eastAsia="Calibri" w:cs="Times New Roman"/>
                <w:sz w:val="20"/>
                <w:szCs w:val="20"/>
              </w:rPr>
            </w:pPr>
            <w:r>
              <w:rPr>
                <w:rFonts w:eastAsia="Calibri" w:cs="Times New Roman" w:ascii="Times New Roman" w:hAnsi="Times New Roman"/>
                <w:color w:val="00000A"/>
                <w:sz w:val="20"/>
                <w:szCs w:val="20"/>
                <w:lang w:eastAsia="en-US"/>
              </w:rPr>
              <w:t>09/02 a 01/07/15</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rPr>
                <w:rFonts w:eastAsia="Calibri"/>
                <w:sz w:val="20"/>
                <w:szCs w:val="20"/>
                <w:lang w:eastAsia="pt-BR"/>
              </w:rPr>
            </w:pPr>
            <w:r>
              <w:rPr>
                <w:rFonts w:eastAsia="Calibri"/>
                <w:sz w:val="20"/>
                <w:szCs w:val="20"/>
                <w:lang w:eastAsia="pt-BR"/>
              </w:rPr>
              <w:t>Cancelada</w:t>
            </w:r>
          </w:p>
          <w:p>
            <w:pPr>
              <w:pStyle w:val="Standard"/>
              <w:jc w:val="both"/>
              <w:rPr>
                <w:rFonts w:eastAsia="Calibri" w:cs="Times New Roman"/>
                <w:sz w:val="20"/>
                <w:szCs w:val="20"/>
                <w:lang w:eastAsia="pt-BR" w:bidi="ar-SA"/>
              </w:rPr>
            </w:pPr>
            <w:r>
              <w:rPr>
                <w:rFonts w:eastAsia="Calibri" w:cs="Times New Roman"/>
                <w:sz w:val="20"/>
                <w:szCs w:val="20"/>
                <w:lang w:eastAsia="pt-BR" w:bidi="ar-SA"/>
              </w:rPr>
            </w:r>
          </w:p>
        </w:tc>
      </w:tr>
      <w:tr>
        <w:trPr/>
        <w:tc>
          <w:tcPr>
            <w:tcW w:w="5670"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Standard"/>
              <w:jc w:val="both"/>
              <w:rPr>
                <w:rFonts w:eastAsia="Calibri" w:cs="Times New Roman"/>
                <w:sz w:val="20"/>
                <w:szCs w:val="20"/>
              </w:rPr>
            </w:pPr>
            <w:r>
              <w:rPr>
                <w:rFonts w:eastAsia="Calibri" w:cs="Times New Roman"/>
                <w:sz w:val="20"/>
                <w:szCs w:val="20"/>
              </w:rPr>
              <w:t>17/2015: Avaliação simplificada de riscos da UFRPE, em conformidade ao Acórdão n.3388/2013-Plenário (item 9.1.5)</w:t>
            </w:r>
          </w:p>
        </w:tc>
        <w:tc>
          <w:tcPr>
            <w:tcW w:w="1701" w:type="dxa"/>
            <w:tcBorders>
              <w:top w:val="single" w:sz="4" w:space="0" w:color="000001"/>
              <w:left w:val="single" w:sz="4" w:space="0" w:color="000001"/>
              <w:bottom w:val="single" w:sz="4" w:space="0" w:color="000001"/>
              <w:insideH w:val="single" w:sz="4" w:space="0" w:color="000001"/>
            </w:tcBorders>
            <w:shd w:color="auto" w:fill="auto" w:val="clear"/>
            <w:tcMar>
              <w:left w:w="103" w:type="dxa"/>
            </w:tcMar>
          </w:tcPr>
          <w:p>
            <w:pPr>
              <w:pStyle w:val="Standard"/>
              <w:jc w:val="both"/>
              <w:rPr>
                <w:rFonts w:eastAsia="Calibri" w:cs="Times New Roman"/>
                <w:sz w:val="20"/>
                <w:szCs w:val="20"/>
                <w:lang w:eastAsia="pt-BR" w:bidi="ar-SA"/>
              </w:rPr>
            </w:pPr>
            <w:r>
              <w:rPr>
                <w:rFonts w:eastAsia="Calibri" w:cs="Times New Roman"/>
                <w:sz w:val="20"/>
                <w:szCs w:val="20"/>
              </w:rPr>
              <w:t>02/02 a 30/06/15</w:t>
            </w:r>
          </w:p>
        </w:tc>
        <w:tc>
          <w:tcPr>
            <w:tcW w:w="113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auto" w:val="clear"/>
            <w:tcMar>
              <w:left w:w="103" w:type="dxa"/>
            </w:tcMar>
          </w:tcPr>
          <w:p>
            <w:pPr>
              <w:pStyle w:val="Normal"/>
              <w:rPr>
                <w:rFonts w:eastAsia="Calibri"/>
                <w:sz w:val="20"/>
                <w:szCs w:val="20"/>
                <w:lang w:eastAsia="pt-BR"/>
              </w:rPr>
            </w:pPr>
            <w:r>
              <w:rPr>
                <w:rFonts w:eastAsia="Calibri"/>
                <w:sz w:val="20"/>
                <w:szCs w:val="20"/>
                <w:lang w:eastAsia="pt-BR"/>
              </w:rPr>
              <w:t>Cancelada</w:t>
            </w:r>
          </w:p>
          <w:p>
            <w:pPr>
              <w:pStyle w:val="Normal"/>
              <w:rPr>
                <w:rFonts w:eastAsia="Calibri"/>
                <w:sz w:val="20"/>
                <w:szCs w:val="20"/>
                <w:lang w:eastAsia="pt-BR"/>
              </w:rPr>
            </w:pPr>
            <w:r>
              <w:rPr>
                <w:rFonts w:eastAsia="Calibri"/>
                <w:sz w:val="20"/>
                <w:szCs w:val="20"/>
                <w:lang w:eastAsia="pt-BR"/>
              </w:rPr>
            </w:r>
          </w:p>
        </w:tc>
      </w:tr>
    </w:tbl>
    <w:p>
      <w:pPr>
        <w:pStyle w:val="Normal"/>
        <w:jc w:val="both"/>
        <w:rPr/>
      </w:pPr>
      <w:r>
        <w:rPr/>
      </w:r>
    </w:p>
    <w:p>
      <w:pPr>
        <w:pStyle w:val="Normal"/>
        <w:spacing w:lineRule="auto" w:line="240" w:beforeAutospacing="1" w:afterAutospacing="1"/>
        <w:contextualSpacing/>
        <w:jc w:val="both"/>
        <w:rPr/>
      </w:pPr>
      <w:r>
        <w:rPr/>
        <w:t xml:space="preserve"> </w:t>
      </w:r>
    </w:p>
    <w:p>
      <w:pPr>
        <w:pStyle w:val="Normal"/>
        <w:spacing w:lineRule="auto" w:line="240" w:beforeAutospacing="1" w:afterAutospacing="1"/>
        <w:contextualSpacing/>
        <w:jc w:val="both"/>
        <w:rPr>
          <w:color w:val="FFFFFF" w:themeColor="background1"/>
          <w:spacing w:val="0"/>
          <w:sz w:val="2"/>
          <w:szCs w:val="2"/>
        </w:rPr>
      </w:pPr>
      <w:r>
        <w:rPr>
          <w:color w:val="FFFFFF" w:themeColor="background1"/>
          <w:spacing w:val="0"/>
          <w:sz w:val="2"/>
          <w:szCs w:val="2"/>
        </w:rPr>
        <w:t>##/Fato##</w:t>
      </w:r>
    </w:p>
    <w:p>
      <w:pPr>
        <w:pStyle w:val="Normal"/>
        <w:spacing w:lineRule="auto" w:line="240" w:before="0" w:after="0"/>
        <w:rPr>
          <w:rFonts w:ascii="Arial" w:hAnsi="Arial" w:cs="Arial"/>
          <w:b/>
          <w:b/>
        </w:rPr>
      </w:pPr>
      <w:r>
        <w:rPr>
          <w:b/>
        </w:rPr>
        <w:t>Causa</w:t>
      </w:r>
    </w:p>
    <w:p>
      <w:pPr>
        <w:pStyle w:val="Normal"/>
        <w:spacing w:lineRule="auto" w:line="240" w:before="0" w:after="0"/>
        <w:rPr>
          <w:b/>
          <w:b/>
        </w:rPr>
      </w:pPr>
      <w:r>
        <w:rPr>
          <w:b/>
        </w:rPr>
      </w:r>
    </w:p>
    <w:p>
      <w:pPr>
        <w:pStyle w:val="Normal"/>
        <w:spacing w:beforeAutospacing="1" w:afterAutospacing="1"/>
        <w:contextualSpacing/>
        <w:jc w:val="both"/>
        <w:rPr>
          <w:shd w:fill="FFFF00" w:val="clear"/>
        </w:rPr>
      </w:pPr>
      <w:r>
        <w:rPr>
          <w:lang w:eastAsia="pt-BR"/>
        </w:rPr>
        <w:t>Fragilidades nos controles internos da UFRPE no tocante ao planejamento, à execução e à coordenação das ações de controle da unidade de auditoria interna, em especial no que se refere à priorização da realização de novas auditorias.</w:t>
      </w:r>
      <w:r>
        <w:rPr/>
        <w:t xml:space="preserve"> </w:t>
      </w:r>
    </w:p>
    <w:p>
      <w:pPr>
        <w:pStyle w:val="Normal"/>
        <w:spacing w:lineRule="auto" w:line="240" w:beforeAutospacing="1" w:afterAutospacing="1"/>
        <w:contextualSpacing/>
        <w:jc w:val="both"/>
        <w:rPr>
          <w:color w:val="FFFFFF" w:themeColor="background1"/>
          <w:spacing w:val="0"/>
          <w:sz w:val="2"/>
          <w:szCs w:val="2"/>
          <w:shd w:fill="FFFF00" w:val="clear"/>
        </w:rPr>
      </w:pPr>
      <w:r>
        <w:rPr>
          <w:color w:val="FFFFFF" w:themeColor="background1"/>
          <w:spacing w:val="0"/>
          <w:sz w:val="2"/>
          <w:szCs w:val="2"/>
          <w:shd w:fill="FFFF00" w:val="clear"/>
        </w:rPr>
        <w:t>##/Causa##</w:t>
      </w:r>
    </w:p>
    <w:p>
      <w:pPr>
        <w:pStyle w:val="Normal"/>
        <w:spacing w:lineRule="auto" w:line="240" w:before="0" w:after="0"/>
        <w:rPr>
          <w:b/>
          <w:b/>
          <w:shd w:fill="FFFF00" w:val="clear"/>
        </w:rPr>
      </w:pPr>
      <w:r>
        <w:rPr>
          <w:b/>
          <w:shd w:fill="FFFF00" w:val="clear"/>
        </w:rPr>
      </w:r>
    </w:p>
    <w:p>
      <w:pPr>
        <w:pStyle w:val="Normal"/>
        <w:spacing w:lineRule="auto" w:line="240" w:before="0" w:after="0"/>
        <w:rPr>
          <w:rFonts w:ascii="Arial" w:hAnsi="Arial" w:cs="Arial"/>
          <w:b/>
          <w:b/>
        </w:rPr>
      </w:pPr>
      <w:r>
        <w:rPr>
          <w:b/>
        </w:rPr>
        <w:t>Manifestação da Unidade Examinada</w:t>
      </w:r>
    </w:p>
    <w:p>
      <w:pPr>
        <w:pStyle w:val="Normal"/>
        <w:spacing w:lineRule="auto" w:line="240" w:before="0" w:after="0"/>
        <w:rPr>
          <w:b/>
          <w:b/>
        </w:rPr>
      </w:pPr>
      <w:r>
        <w:rPr>
          <w:b/>
        </w:rPr>
      </w:r>
    </w:p>
    <w:p>
      <w:pPr>
        <w:pStyle w:val="Normal"/>
        <w:spacing w:beforeAutospacing="1" w:afterAutospacing="1"/>
        <w:contextualSpacing/>
        <w:jc w:val="both"/>
        <w:rPr/>
      </w:pPr>
      <w:r>
        <w:rPr>
          <w:rFonts w:eastAsia="Times New Roman"/>
          <w:bCs/>
          <w:lang w:eastAsia="pt-BR"/>
        </w:rPr>
        <w:t xml:space="preserve">O Auditor Titular apresentou as seguintes justificativas, por meio do </w:t>
      </w:r>
      <w:r>
        <w:rPr/>
        <w:t>OFÍCIO N</w:t>
      </w:r>
      <w:r>
        <w:rPr>
          <w:rFonts w:ascii="Symbol" w:hAnsi="Symbol"/>
        </w:rPr>
        <w:t>?</w:t>
      </w:r>
      <w:r>
        <w:rPr/>
        <w:t xml:space="preserve"> 15/2015-AUDIN, de 23/10/2015:</w:t>
      </w:r>
    </w:p>
    <w:p>
      <w:pPr>
        <w:pStyle w:val="Normal"/>
        <w:spacing w:beforeAutospacing="1" w:afterAutospacing="1"/>
        <w:contextualSpacing/>
        <w:jc w:val="both"/>
        <w:rPr>
          <w:rFonts w:eastAsia="Times New Roman"/>
          <w:b/>
          <w:b/>
          <w:bCs/>
          <w:lang w:eastAsia="pt-BR"/>
        </w:rPr>
      </w:pPr>
      <w:r>
        <w:rPr>
          <w:rFonts w:eastAsia="Times New Roman"/>
          <w:b/>
          <w:bCs/>
          <w:lang w:eastAsia="pt-BR"/>
        </w:rPr>
      </w:r>
    </w:p>
    <w:p>
      <w:pPr>
        <w:pStyle w:val="Normal"/>
        <w:spacing w:beforeAutospacing="1" w:afterAutospacing="1"/>
        <w:contextualSpacing/>
        <w:jc w:val="both"/>
        <w:rPr>
          <w:i/>
          <w:i/>
        </w:rPr>
      </w:pPr>
      <w:r>
        <w:rPr>
          <w:rFonts w:eastAsia="Times New Roman"/>
          <w:b/>
          <w:bCs/>
          <w:i/>
          <w:lang w:eastAsia="pt-BR"/>
        </w:rPr>
        <w:t>“</w:t>
      </w:r>
      <w:r>
        <w:rPr>
          <w:i/>
        </w:rPr>
        <w:t>Percebeu-se um grau de aderência de 66.67% entre as atividades previstas no PAINT/2011 em relação ao RAINT/2011. Metodologia: 6 atividades realizadas / 18 atividades planejadas.</w:t>
      </w:r>
    </w:p>
    <w:p>
      <w:pPr>
        <w:pStyle w:val="Western"/>
        <w:spacing w:lineRule="auto" w:line="240" w:before="280" w:after="0"/>
        <w:jc w:val="both"/>
        <w:rPr>
          <w:i/>
          <w:i/>
        </w:rPr>
      </w:pPr>
      <w:r>
        <w:rPr>
          <w:i/>
        </w:rPr>
        <w:t>* Em relação ao PAINT 2012, evidenciou um grau de aderência de 64,70% entre as atividades previstas no PAINT/2012 em relação ao RAINT/2012. ( Metodologia: 11 atividades realizadas / 17 atividades previstas no PAINT/2012)</w:t>
      </w:r>
    </w:p>
    <w:p>
      <w:pPr>
        <w:pStyle w:val="Western"/>
        <w:spacing w:lineRule="auto" w:line="240" w:before="280" w:after="0"/>
        <w:jc w:val="both"/>
        <w:rPr>
          <w:i/>
          <w:i/>
        </w:rPr>
      </w:pPr>
      <w:r>
        <w:rPr>
          <w:i/>
        </w:rPr>
        <w:t>*Em relação ao PAINT 2013, constatou-se um grau de aderência de 70,58 % entre as atividades previstas no PAINT/2013 em relação ao RAINT/2013. ( Metodologia: 12 atividades realizadas / 17 atividades previstas no PAINT/2013)</w:t>
      </w:r>
    </w:p>
    <w:p>
      <w:pPr>
        <w:pStyle w:val="Western"/>
        <w:spacing w:lineRule="auto" w:line="240" w:before="280" w:after="0"/>
        <w:jc w:val="both"/>
        <w:rPr>
          <w:i/>
          <w:i/>
        </w:rPr>
      </w:pPr>
      <w:r>
        <w:rPr>
          <w:i/>
        </w:rPr>
        <w:t>* Em relação ao PAINT 2014, percebeu-se um grau de aderência de 87,50 % entre as atividades previstas no PAINT/2014 em relação ao RAINT/2014. ( Metodologia: 14 atividades realizadas / 16 atividades previstas no PAINT/2014)</w:t>
      </w:r>
    </w:p>
    <w:p>
      <w:pPr>
        <w:pStyle w:val="Western"/>
        <w:spacing w:lineRule="auto" w:line="240" w:before="280" w:after="0"/>
        <w:jc w:val="both"/>
        <w:rPr>
          <w:i/>
          <w:i/>
        </w:rPr>
      </w:pPr>
      <w:r>
        <w:rPr>
          <w:i/>
        </w:rPr>
        <w:t>* Em relação ao PAINT 2015, prever em dezembro de 2015, um grau de aderência de 88,24 % entre as atividades previstas no PAINT/2015 em relação ao RAINT/2015. ( Metodologia: 15 atividades realizadas / 17 atividades previstas no PAINT/2015)</w:t>
      </w:r>
    </w:p>
    <w:p>
      <w:pPr>
        <w:pStyle w:val="Western"/>
        <w:spacing w:lineRule="atLeast" w:line="102" w:before="280" w:after="0"/>
        <w:jc w:val="both"/>
        <w:rPr>
          <w:i/>
          <w:i/>
        </w:rPr>
      </w:pPr>
      <w:r>
        <w:rPr>
          <w:i/>
        </w:rPr>
        <w:t xml:space="preserve">O descumprimento de algumas atividades do PAINT decorreram de fatos supervenientes. Exemplificando, o PAINT de 2015 foi afetado incisivamente pelo período prolongado da greve dos servidores técnicos administrativos das IFES, bem como pelas apurações de denúncias encaminhadas pela Controladoria Geral da União à AUDIN para que esta apurasse. </w:t>
      </w:r>
    </w:p>
    <w:p>
      <w:pPr>
        <w:pStyle w:val="Western"/>
        <w:spacing w:lineRule="atLeast" w:line="102" w:before="280" w:after="0"/>
        <w:jc w:val="both"/>
        <w:rPr>
          <w:i/>
          <w:i/>
        </w:rPr>
      </w:pPr>
      <w:r>
        <w:rPr>
          <w:i/>
        </w:rPr>
        <w:t>Em relação às justificativas de fatos supervenientes referentes aos exercícios de 2011 a 2014 estão contidos nos seus respectivos RAINT, os quais foram apresentados em momentos oportunos a esta Controladoria.</w:t>
      </w:r>
      <w:r>
        <w:rPr>
          <w:i/>
          <w:vertAlign w:val="superscript"/>
        </w:rPr>
        <w:t xml:space="preserve"> </w:t>
      </w:r>
    </w:p>
    <w:p>
      <w:pPr>
        <w:pStyle w:val="Western"/>
        <w:spacing w:lineRule="atLeast" w:line="102" w:before="280" w:after="0"/>
        <w:jc w:val="both"/>
        <w:rPr>
          <w:i/>
          <w:i/>
        </w:rPr>
      </w:pPr>
      <w:r>
        <w:rPr>
          <w:i/>
        </w:rPr>
        <w:t xml:space="preserve">Nesse sentido, observando o comportamento do índice do grau de aderência entre RAINT/PAINT, detalhados acima, </w:t>
      </w:r>
      <w:r>
        <w:rPr>
          <w:bCs/>
          <w:i/>
          <w:u w:val="single"/>
        </w:rPr>
        <w:t>fica evidenciado que a AUDIN/UFRPE vem cumprindo, desde 2013, um percentual elevado de atuação</w:t>
      </w:r>
      <w:r>
        <w:rPr>
          <w:i/>
        </w:rPr>
        <w:t xml:space="preserve">, conforme entendimento do Tribunal de Contas da União , contido no Relatório de Auditoria que baseou o </w:t>
      </w:r>
      <w:r>
        <w:rPr>
          <w:bCs/>
          <w:i/>
        </w:rPr>
        <w:t>Acórdão TCU nº 3459/2014 – TCU – Plenário,</w:t>
      </w:r>
      <w:r>
        <w:rPr>
          <w:i/>
        </w:rPr>
        <w:t xml:space="preserve"> in verbis: </w:t>
      </w:r>
    </w:p>
    <w:p>
      <w:pPr>
        <w:pStyle w:val="Western"/>
        <w:spacing w:lineRule="atLeast" w:line="102" w:before="280" w:after="0"/>
        <w:jc w:val="both"/>
        <w:rPr>
          <w:i/>
          <w:i/>
        </w:rPr>
      </w:pPr>
      <w:r>
        <w:rPr>
          <w:i/>
        </w:rPr>
        <w:t>““</w:t>
      </w:r>
      <w:r>
        <w:rPr>
          <w:i/>
        </w:rPr>
        <w:t>60. Em relação a aderência das atividades efetivamente realizadas pela Audin no exercício de 2013, constantes no Raint, com relação às planejadas, o Chefe da Audin informa que o grau de cumprimento é superior a 70% (peça 17). De acordo com levantamento efetuado pela equipe de auditoria, essa informação é procedente……...</w:t>
      </w:r>
    </w:p>
    <w:p>
      <w:pPr>
        <w:pStyle w:val="Western"/>
        <w:spacing w:lineRule="atLeast" w:line="102" w:before="280" w:after="0"/>
        <w:jc w:val="both"/>
        <w:rPr>
          <w:i/>
          <w:i/>
        </w:rPr>
      </w:pPr>
      <w:r>
        <w:rPr>
          <w:i/>
          <w:u w:val="single"/>
        </w:rPr>
        <w:t xml:space="preserve">Opinião sobre a atuação da Audin – aderência do Raint e da Gestão de Riscos ao Paint </w:t>
      </w:r>
    </w:p>
    <w:p>
      <w:pPr>
        <w:pStyle w:val="Western"/>
        <w:spacing w:lineRule="atLeast" w:line="102" w:before="280" w:after="0"/>
        <w:jc w:val="both"/>
        <w:rPr>
          <w:i/>
          <w:i/>
        </w:rPr>
      </w:pPr>
      <w:r>
        <w:rPr>
          <w:i/>
          <w:u w:val="single"/>
        </w:rPr>
        <w:t xml:space="preserve">63.Conclui-se que o </w:t>
      </w:r>
      <w:r>
        <w:rPr>
          <w:bCs/>
          <w:i/>
          <w:u w:val="single"/>
        </w:rPr>
        <w:t>Raint tem alto grau de aderência ao Paint…..””</w:t>
      </w:r>
    </w:p>
    <w:p>
      <w:pPr>
        <w:pStyle w:val="Normal"/>
        <w:spacing w:lineRule="auto" w:line="240" w:beforeAutospacing="1" w:afterAutospacing="1"/>
        <w:contextualSpacing/>
        <w:jc w:val="both"/>
        <w:rPr/>
      </w:pPr>
      <w:r>
        <w:rPr/>
        <w:t xml:space="preserve"> </w:t>
      </w:r>
    </w:p>
    <w:p>
      <w:pPr>
        <w:pStyle w:val="Normal"/>
        <w:spacing w:lineRule="auto" w:line="240" w:beforeAutospacing="1" w:afterAutospacing="1"/>
        <w:contextualSpacing/>
        <w:jc w:val="both"/>
        <w:rPr>
          <w:color w:val="FFFFFF" w:themeColor="background1"/>
          <w:spacing w:val="0"/>
          <w:sz w:val="2"/>
          <w:szCs w:val="2"/>
        </w:rPr>
      </w:pPr>
      <w:r>
        <w:rPr>
          <w:color w:val="FFFFFF" w:themeColor="background1"/>
          <w:spacing w:val="0"/>
          <w:sz w:val="2"/>
          <w:szCs w:val="2"/>
        </w:rPr>
        <w:t>##/ManifestacaoUnidadeExaminada##</w:t>
      </w:r>
    </w:p>
    <w:p>
      <w:pPr>
        <w:pStyle w:val="Normal"/>
        <w:spacing w:lineRule="auto" w:line="240" w:before="0" w:after="0"/>
        <w:rPr>
          <w:rFonts w:ascii="Arial" w:hAnsi="Arial" w:cs="Arial"/>
          <w:b/>
          <w:b/>
        </w:rPr>
      </w:pPr>
      <w:r>
        <w:rPr>
          <w:b/>
        </w:rPr>
        <w:t>Análise do Controle Interno</w:t>
      </w:r>
    </w:p>
    <w:p>
      <w:pPr>
        <w:pStyle w:val="Normal"/>
        <w:spacing w:lineRule="auto" w:line="240" w:before="0" w:after="0"/>
        <w:rPr>
          <w:b/>
          <w:b/>
        </w:rPr>
      </w:pPr>
      <w:r>
        <w:rPr>
          <w:b/>
        </w:rPr>
      </w:r>
    </w:p>
    <w:p>
      <w:pPr>
        <w:pStyle w:val="Normal"/>
        <w:spacing w:lineRule="auto" w:line="240" w:beforeAutospacing="1" w:afterAutospacing="1"/>
        <w:contextualSpacing/>
        <w:jc w:val="both"/>
        <w:rPr/>
      </w:pPr>
      <w:r>
        <w:rPr/>
        <w:t xml:space="preserve">Apesar das justificativas e o grau de aderência ao PAINT, a falha refere-se à não realização de ações de auditoria anualmente, o que , por si, já acarreta em prejuízo no cumprimento as atividades da auditoria interna de acompanhar a execução dos recursos gastos pela UFRPE. Observa-se que nos últimos cinco anos deixaram de ser realizadas pela AUDIN vinte e duas auditorias nas diversas áreas da Unidade. </w:t>
      </w:r>
    </w:p>
    <w:p>
      <w:pPr>
        <w:pStyle w:val="Normal"/>
        <w:spacing w:lineRule="auto" w:line="240" w:beforeAutospacing="1" w:afterAutospacing="1"/>
        <w:contextualSpacing/>
        <w:jc w:val="both"/>
        <w:rPr>
          <w:color w:val="FFFFFF" w:themeColor="background1"/>
          <w:spacing w:val="0"/>
          <w:sz w:val="2"/>
          <w:szCs w:val="2"/>
        </w:rPr>
      </w:pPr>
      <w:r>
        <w:rPr>
          <w:color w:val="FFFFFF" w:themeColor="background1"/>
          <w:spacing w:val="0"/>
          <w:sz w:val="2"/>
          <w:szCs w:val="2"/>
        </w:rPr>
        <w:t>##/AnaliseControleInterno##</w:t>
      </w:r>
    </w:p>
    <w:p>
      <w:pPr>
        <w:pStyle w:val="Normal"/>
        <w:spacing w:lineRule="auto" w:line="240" w:before="0" w:after="0"/>
        <w:jc w:val="both"/>
        <w:rPr>
          <w:b/>
          <w:b/>
        </w:rPr>
      </w:pPr>
      <w:r>
        <w:rPr>
          <w:b/>
        </w:rPr>
      </w:r>
    </w:p>
    <w:p>
      <w:pPr>
        <w:pStyle w:val="Normal"/>
        <w:spacing w:lineRule="auto" w:line="240" w:before="0" w:after="0"/>
        <w:jc w:val="both"/>
        <w:rPr>
          <w:b/>
          <w:b/>
        </w:rPr>
      </w:pPr>
      <w:r>
        <w:rPr>
          <w:b/>
        </w:rPr>
        <w:t>Recomendações:</w:t>
      </w:r>
    </w:p>
    <w:p>
      <w:pPr>
        <w:pStyle w:val="Normal"/>
        <w:spacing w:lineRule="auto" w:line="240" w:before="0" w:after="0"/>
        <w:jc w:val="both"/>
        <w:rPr/>
      </w:pPr>
      <w:r>
        <w:rPr/>
        <w:t>Recomendação 1: Melhorar o planejamento das ações de controle da unidade de auditoria interna, de forma a priorizar a realização de novas auditorias.</w:t>
      </w:r>
    </w:p>
    <w:p>
      <w:pPr>
        <w:pStyle w:val="Normal"/>
        <w:spacing w:lineRule="auto" w:line="240" w:before="0" w:after="0"/>
        <w:jc w:val="both"/>
        <w:rPr/>
      </w:pPr>
      <w:r>
        <w:rPr/>
      </w:r>
    </w:p>
    <w:p>
      <w:pPr>
        <w:pStyle w:val="Normal"/>
        <w:spacing w:lineRule="auto" w:line="240" w:before="0" w:after="0"/>
        <w:jc w:val="both"/>
        <w:rPr/>
      </w:pPr>
      <w:r>
        <w:rPr/>
        <w:t xml:space="preserve">Recomendação 2: Quando da ocorrência de fatos supervenientes, com impacto no PAINT vigente, ajustar o planeja-mento aprovado, priorizando a manutenção das ações de controle (auditorias planejadas). </w:t>
      </w:r>
    </w:p>
    <w:p>
      <w:pPr>
        <w:pStyle w:val="Normal"/>
        <w:spacing w:lineRule="auto" w:line="240" w:before="0" w:after="0"/>
        <w:jc w:val="both"/>
        <w:rPr/>
      </w:pPr>
      <w:r>
        <w:rPr/>
      </w:r>
    </w:p>
    <w:p>
      <w:pPr>
        <w:pStyle w:val="Normal"/>
        <w:spacing w:lineRule="auto" w:line="240" w:before="0" w:after="0"/>
        <w:jc w:val="both"/>
        <w:rPr>
          <w:rFonts w:eastAsia="Times New Roman"/>
          <w:lang w:eastAsia="pt-BR"/>
        </w:rPr>
      </w:pPr>
      <w:r>
        <w:rPr>
          <w:rFonts w:eastAsia="Times New Roman"/>
          <w:lang w:eastAsia="pt-BR"/>
        </w:rPr>
      </w:r>
    </w:p>
    <w:p>
      <w:pPr>
        <w:pStyle w:val="Normal"/>
        <w:spacing w:lineRule="auto" w:line="240" w:before="0" w:after="0"/>
        <w:rPr>
          <w:rFonts w:ascii="Arial" w:hAnsi="Arial" w:cs="Arial"/>
          <w:b/>
          <w:b/>
        </w:rPr>
      </w:pPr>
      <w:r>
        <w:rPr>
          <w:b/>
        </w:rPr>
        <w:t>1.1.1.5</w:t>
      </w:r>
      <w:r>
        <w:rPr>
          <w:rFonts w:cs="Arial" w:ascii="Arial" w:hAnsi="Arial"/>
          <w:b/>
        </w:rPr>
        <w:t xml:space="preserve"> </w:t>
      </w:r>
      <w:r>
        <w:rPr>
          <w:b/>
        </w:rPr>
        <w:t>CONSTATAÇÃO</w:t>
      </w:r>
    </w:p>
    <w:p>
      <w:pPr>
        <w:pStyle w:val="Normal"/>
        <w:spacing w:lineRule="auto" w:line="240" w:before="0" w:after="0"/>
        <w:rPr>
          <w:b/>
          <w:b/>
        </w:rPr>
      </w:pPr>
      <w:r>
        <w:rPr>
          <w:b/>
        </w:rPr>
      </w:r>
    </w:p>
    <w:p>
      <w:pPr>
        <w:pStyle w:val="Normal"/>
        <w:spacing w:lineRule="auto" w:line="240" w:before="0" w:after="0"/>
        <w:jc w:val="both"/>
        <w:rPr>
          <w:b/>
          <w:b/>
        </w:rPr>
      </w:pPr>
      <w:r>
        <w:rPr>
          <w:b/>
        </w:rPr>
        <w:t xml:space="preserve">Utilização de horas acima do previsto para a realização das atividades prevista do PAINT/2015. </w:t>
      </w:r>
    </w:p>
    <w:p>
      <w:pPr>
        <w:pStyle w:val="Normal"/>
        <w:spacing w:lineRule="auto" w:line="240" w:before="0" w:after="0"/>
        <w:rPr/>
      </w:pPr>
      <w:r>
        <w:rPr/>
      </w:r>
    </w:p>
    <w:p>
      <w:pPr>
        <w:pStyle w:val="Normal"/>
        <w:spacing w:lineRule="auto" w:line="240" w:before="0" w:after="0"/>
        <w:rPr>
          <w:rFonts w:ascii="Arial" w:hAnsi="Arial" w:cs="Arial"/>
          <w:b/>
          <w:b/>
        </w:rPr>
      </w:pPr>
      <w:r>
        <w:rPr>
          <w:b/>
        </w:rPr>
        <w:t>Fato</w:t>
      </w:r>
    </w:p>
    <w:p>
      <w:pPr>
        <w:pStyle w:val="Normal"/>
        <w:spacing w:lineRule="auto" w:line="240" w:before="0" w:after="0"/>
        <w:rPr>
          <w:b/>
          <w:b/>
        </w:rPr>
      </w:pPr>
      <w:r>
        <w:rPr>
          <w:b/>
        </w:rPr>
      </w:r>
    </w:p>
    <w:p>
      <w:pPr>
        <w:pStyle w:val="Standard"/>
        <w:spacing w:lineRule="atLeast" w:line="240"/>
        <w:jc w:val="both"/>
        <w:rPr>
          <w:bCs/>
        </w:rPr>
      </w:pPr>
      <w:r>
        <w:rPr>
          <w:bCs/>
        </w:rPr>
        <w:t>Verificou-se a ultrapassagem das horas prevista para realização das atividades prevista no PAINT/2015. Os valores foram levantados com base na Planilha de Controle de Horas da Auditoria Interna, atualizadas até 20/10/2015.</w:t>
      </w:r>
    </w:p>
    <w:p>
      <w:pPr>
        <w:pStyle w:val="Standard"/>
        <w:spacing w:lineRule="atLeast" w:line="240"/>
        <w:jc w:val="both"/>
        <w:rPr>
          <w:b/>
          <w:b/>
          <w:bCs/>
        </w:rPr>
      </w:pPr>
      <w:r>
        <w:rPr>
          <w:b/>
          <w:bCs/>
        </w:rPr>
      </w:r>
    </w:p>
    <w:tbl>
      <w:tblPr>
        <w:tblW w:w="8588" w:type="dxa"/>
        <w:jc w:val="left"/>
        <w:tblInd w:w="55" w:type="dxa"/>
        <w:tblBorders>
          <w:top w:val="single" w:sz="8" w:space="0" w:color="00000A"/>
          <w:left w:val="single" w:sz="8" w:space="0" w:color="00000A"/>
          <w:bottom w:val="single" w:sz="8" w:space="0" w:color="00000A"/>
          <w:insideH w:val="single" w:sz="8" w:space="0" w:color="00000A"/>
        </w:tblBorders>
        <w:tblCellMar>
          <w:top w:w="0" w:type="dxa"/>
          <w:left w:w="60" w:type="dxa"/>
          <w:bottom w:w="0" w:type="dxa"/>
          <w:right w:w="70" w:type="dxa"/>
        </w:tblCellMar>
        <w:tblLook w:noVBand="1" w:val="04a0" w:noHBand="0" w:lastColumn="0" w:firstColumn="1" w:lastRow="0" w:firstRow="1"/>
      </w:tblPr>
      <w:tblGrid>
        <w:gridCol w:w="3653"/>
        <w:gridCol w:w="1419"/>
        <w:gridCol w:w="1290"/>
        <w:gridCol w:w="1133"/>
        <w:gridCol w:w="1093"/>
      </w:tblGrid>
      <w:tr>
        <w:trPr>
          <w:trHeight w:val="1049" w:hRule="atLeast"/>
        </w:trPr>
        <w:tc>
          <w:tcPr>
            <w:tcW w:w="3653" w:type="dxa"/>
            <w:tcBorders>
              <w:top w:val="single" w:sz="8" w:space="0" w:color="00000A"/>
              <w:left w:val="single" w:sz="8" w:space="0" w:color="00000A"/>
              <w:bottom w:val="single" w:sz="8" w:space="0" w:color="00000A"/>
              <w:insideH w:val="single" w:sz="8" w:space="0" w:color="00000A"/>
            </w:tcBorders>
            <w:shd w:color="auto" w:fill="auto" w:val="clear"/>
            <w:tcMar>
              <w:left w:w="60" w:type="dxa"/>
            </w:tcMar>
          </w:tcPr>
          <w:p>
            <w:pPr>
              <w:pStyle w:val="Normal"/>
              <w:jc w:val="center"/>
              <w:rPr>
                <w:b/>
                <w:b/>
                <w:sz w:val="20"/>
                <w:szCs w:val="20"/>
              </w:rPr>
            </w:pPr>
            <w:r>
              <w:rPr>
                <w:b/>
                <w:sz w:val="20"/>
                <w:szCs w:val="20"/>
              </w:rPr>
              <w:t>Atividade</w:t>
            </w:r>
          </w:p>
        </w:tc>
        <w:tc>
          <w:tcPr>
            <w:tcW w:w="1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tcPr>
          <w:p>
            <w:pPr>
              <w:pStyle w:val="Normal"/>
              <w:jc w:val="center"/>
              <w:rPr>
                <w:b/>
                <w:b/>
                <w:sz w:val="20"/>
                <w:szCs w:val="20"/>
              </w:rPr>
            </w:pPr>
            <w:r>
              <w:rPr>
                <w:b/>
                <w:sz w:val="20"/>
                <w:szCs w:val="20"/>
              </w:rPr>
              <w:t>HH previsto no PAINT/2015</w:t>
            </w:r>
          </w:p>
        </w:tc>
        <w:tc>
          <w:tcPr>
            <w:tcW w:w="1290"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tcPr>
          <w:p>
            <w:pPr>
              <w:pStyle w:val="Normal"/>
              <w:jc w:val="center"/>
              <w:rPr>
                <w:b/>
                <w:b/>
                <w:color w:val="000000"/>
                <w:sz w:val="20"/>
                <w:szCs w:val="20"/>
              </w:rPr>
            </w:pPr>
            <w:r>
              <w:rPr>
                <w:b/>
                <w:color w:val="000000"/>
                <w:sz w:val="20"/>
                <w:szCs w:val="20"/>
              </w:rPr>
              <w:t>Planilha de Controle de hora da AUDIN</w:t>
            </w:r>
          </w:p>
        </w:tc>
        <w:tc>
          <w:tcPr>
            <w:tcW w:w="1133"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tcPr>
          <w:p>
            <w:pPr>
              <w:pStyle w:val="Normal"/>
              <w:jc w:val="center"/>
              <w:rPr>
                <w:b/>
                <w:b/>
                <w:color w:val="000000"/>
                <w:sz w:val="20"/>
                <w:szCs w:val="20"/>
              </w:rPr>
            </w:pPr>
            <w:r>
              <w:rPr>
                <w:b/>
                <w:color w:val="000000"/>
                <w:sz w:val="20"/>
                <w:szCs w:val="20"/>
              </w:rPr>
              <w:t>Excedente de horas</w:t>
            </w:r>
          </w:p>
        </w:tc>
        <w:tc>
          <w:tcPr>
            <w:tcW w:w="1093"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tcPr>
          <w:p>
            <w:pPr>
              <w:pStyle w:val="Normal"/>
              <w:jc w:val="center"/>
              <w:rPr>
                <w:b/>
                <w:b/>
                <w:color w:val="000000"/>
                <w:sz w:val="20"/>
                <w:szCs w:val="20"/>
              </w:rPr>
            </w:pPr>
            <w:r>
              <w:rPr>
                <w:b/>
                <w:color w:val="000000"/>
                <w:sz w:val="20"/>
                <w:szCs w:val="20"/>
              </w:rPr>
              <w:t>% de Excedente</w:t>
            </w:r>
          </w:p>
        </w:tc>
      </w:tr>
      <w:tr>
        <w:trPr>
          <w:trHeight w:val="600" w:hRule="atLeast"/>
        </w:trPr>
        <w:tc>
          <w:tcPr>
            <w:tcW w:w="3653" w:type="dxa"/>
            <w:tcBorders>
              <w:left w:val="single" w:sz="8" w:space="0" w:color="00000A"/>
              <w:bottom w:val="single" w:sz="8" w:space="0" w:color="00000A"/>
              <w:insideH w:val="single" w:sz="8" w:space="0" w:color="00000A"/>
            </w:tcBorders>
            <w:shd w:color="auto" w:fill="auto" w:val="clear"/>
            <w:tcMar>
              <w:left w:w="60" w:type="dxa"/>
            </w:tcMar>
          </w:tcPr>
          <w:p>
            <w:pPr>
              <w:pStyle w:val="Normal"/>
              <w:jc w:val="both"/>
              <w:rPr>
                <w:sz w:val="20"/>
                <w:szCs w:val="20"/>
              </w:rPr>
            </w:pPr>
            <w:r>
              <w:rPr>
                <w:sz w:val="20"/>
                <w:szCs w:val="20"/>
              </w:rPr>
              <w:t xml:space="preserve">01/2015: Elaboração do Relatório Anual de Atividades de Auditoria Interna – RAINT/2014 </w:t>
            </w:r>
          </w:p>
        </w:tc>
        <w:tc>
          <w:tcPr>
            <w:tcW w:w="1419"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jc w:val="right"/>
              <w:rPr>
                <w:color w:val="000000"/>
                <w:sz w:val="20"/>
                <w:szCs w:val="20"/>
              </w:rPr>
            </w:pPr>
            <w:r>
              <w:rPr>
                <w:color w:val="000000"/>
                <w:sz w:val="20"/>
                <w:szCs w:val="20"/>
              </w:rPr>
              <w:t>200</w:t>
            </w:r>
          </w:p>
        </w:tc>
        <w:tc>
          <w:tcPr>
            <w:tcW w:w="12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right"/>
              <w:rPr>
                <w:color w:val="000000"/>
                <w:sz w:val="20"/>
                <w:szCs w:val="20"/>
              </w:rPr>
            </w:pPr>
            <w:r>
              <w:rPr>
                <w:color w:val="000000"/>
                <w:sz w:val="20"/>
                <w:szCs w:val="20"/>
              </w:rPr>
              <w:t>316</w:t>
            </w:r>
          </w:p>
        </w:tc>
        <w:tc>
          <w:tcPr>
            <w:tcW w:w="113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right"/>
              <w:rPr>
                <w:color w:val="000000"/>
                <w:sz w:val="20"/>
                <w:szCs w:val="20"/>
              </w:rPr>
            </w:pPr>
            <w:r>
              <w:rPr>
                <w:color w:val="000000"/>
                <w:sz w:val="20"/>
                <w:szCs w:val="20"/>
              </w:rPr>
              <w:t>116</w:t>
            </w:r>
          </w:p>
        </w:tc>
        <w:tc>
          <w:tcPr>
            <w:tcW w:w="109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right"/>
              <w:rPr>
                <w:b/>
                <w:b/>
                <w:color w:val="000000"/>
                <w:sz w:val="20"/>
                <w:szCs w:val="20"/>
              </w:rPr>
            </w:pPr>
            <w:r>
              <w:rPr>
                <w:b/>
                <w:color w:val="000000"/>
                <w:sz w:val="20"/>
                <w:szCs w:val="20"/>
              </w:rPr>
              <w:t>58,00</w:t>
            </w:r>
          </w:p>
        </w:tc>
      </w:tr>
      <w:tr>
        <w:trPr>
          <w:trHeight w:val="960" w:hRule="atLeast"/>
        </w:trPr>
        <w:tc>
          <w:tcPr>
            <w:tcW w:w="3653" w:type="dxa"/>
            <w:tcBorders>
              <w:left w:val="single" w:sz="8" w:space="0" w:color="00000A"/>
              <w:bottom w:val="single" w:sz="8" w:space="0" w:color="00000A"/>
              <w:insideH w:val="single" w:sz="8" w:space="0" w:color="00000A"/>
            </w:tcBorders>
            <w:shd w:color="auto" w:fill="auto" w:val="clear"/>
            <w:tcMar>
              <w:left w:w="60" w:type="dxa"/>
            </w:tcMar>
          </w:tcPr>
          <w:p>
            <w:pPr>
              <w:pStyle w:val="Normal"/>
              <w:jc w:val="both"/>
              <w:rPr>
                <w:sz w:val="20"/>
                <w:szCs w:val="20"/>
              </w:rPr>
            </w:pPr>
            <w:r>
              <w:rPr>
                <w:sz w:val="20"/>
                <w:szCs w:val="20"/>
              </w:rPr>
              <w:t xml:space="preserve">03/2015: Coleta de dados, monitoramento e organização de informações para compor o Relatório de Gestão do exercício de 2014 </w:t>
            </w:r>
          </w:p>
        </w:tc>
        <w:tc>
          <w:tcPr>
            <w:tcW w:w="1419"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jc w:val="right"/>
              <w:rPr>
                <w:color w:val="000000"/>
                <w:sz w:val="20"/>
                <w:szCs w:val="20"/>
              </w:rPr>
            </w:pPr>
            <w:r>
              <w:rPr>
                <w:color w:val="000000"/>
                <w:sz w:val="20"/>
                <w:szCs w:val="20"/>
              </w:rPr>
              <w:t>400</w:t>
            </w:r>
          </w:p>
        </w:tc>
        <w:tc>
          <w:tcPr>
            <w:tcW w:w="12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right"/>
              <w:rPr>
                <w:color w:val="000000"/>
                <w:sz w:val="20"/>
                <w:szCs w:val="20"/>
              </w:rPr>
            </w:pPr>
            <w:r>
              <w:rPr>
                <w:color w:val="000000"/>
                <w:sz w:val="20"/>
                <w:szCs w:val="20"/>
              </w:rPr>
              <w:t>854</w:t>
            </w:r>
          </w:p>
        </w:tc>
        <w:tc>
          <w:tcPr>
            <w:tcW w:w="113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right"/>
              <w:rPr>
                <w:color w:val="000000"/>
                <w:sz w:val="20"/>
                <w:szCs w:val="20"/>
              </w:rPr>
            </w:pPr>
            <w:r>
              <w:rPr>
                <w:color w:val="000000"/>
                <w:sz w:val="20"/>
                <w:szCs w:val="20"/>
              </w:rPr>
              <w:t>454</w:t>
            </w:r>
          </w:p>
        </w:tc>
        <w:tc>
          <w:tcPr>
            <w:tcW w:w="109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right"/>
              <w:rPr>
                <w:b/>
                <w:b/>
                <w:color w:val="000000"/>
                <w:sz w:val="20"/>
                <w:szCs w:val="20"/>
              </w:rPr>
            </w:pPr>
            <w:r>
              <w:rPr>
                <w:b/>
                <w:color w:val="000000"/>
                <w:sz w:val="20"/>
                <w:szCs w:val="20"/>
              </w:rPr>
              <w:t>113,50</w:t>
            </w:r>
          </w:p>
        </w:tc>
      </w:tr>
      <w:tr>
        <w:trPr>
          <w:trHeight w:val="630" w:hRule="atLeast"/>
        </w:trPr>
        <w:tc>
          <w:tcPr>
            <w:tcW w:w="3653" w:type="dxa"/>
            <w:tcBorders>
              <w:left w:val="single" w:sz="8" w:space="0" w:color="00000A"/>
              <w:bottom w:val="single" w:sz="8" w:space="0" w:color="00000A"/>
              <w:insideH w:val="single" w:sz="8" w:space="0" w:color="00000A"/>
            </w:tcBorders>
            <w:shd w:color="auto" w:fill="auto" w:val="clear"/>
            <w:tcMar>
              <w:left w:w="60" w:type="dxa"/>
            </w:tcMar>
          </w:tcPr>
          <w:p>
            <w:pPr>
              <w:pStyle w:val="Normal"/>
              <w:jc w:val="both"/>
              <w:rPr>
                <w:sz w:val="20"/>
                <w:szCs w:val="20"/>
              </w:rPr>
            </w:pPr>
            <w:r>
              <w:rPr>
                <w:sz w:val="20"/>
                <w:szCs w:val="20"/>
              </w:rPr>
              <w:t xml:space="preserve">09/2015: Atividades administrativas de apoio técnico e operacional da unidade de auditoria interna da UFRPE </w:t>
            </w:r>
          </w:p>
        </w:tc>
        <w:tc>
          <w:tcPr>
            <w:tcW w:w="1419"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jc w:val="right"/>
              <w:rPr>
                <w:color w:val="000000"/>
                <w:sz w:val="20"/>
                <w:szCs w:val="20"/>
              </w:rPr>
            </w:pPr>
            <w:r>
              <w:rPr>
                <w:color w:val="000000"/>
                <w:sz w:val="20"/>
                <w:szCs w:val="20"/>
              </w:rPr>
              <w:t>213</w:t>
            </w:r>
          </w:p>
        </w:tc>
        <w:tc>
          <w:tcPr>
            <w:tcW w:w="129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jc w:val="right"/>
              <w:rPr>
                <w:color w:val="000000"/>
                <w:sz w:val="20"/>
                <w:szCs w:val="20"/>
              </w:rPr>
            </w:pPr>
            <w:r>
              <w:rPr>
                <w:color w:val="000000"/>
                <w:sz w:val="20"/>
                <w:szCs w:val="20"/>
              </w:rPr>
              <w:t>794</w:t>
            </w:r>
          </w:p>
        </w:tc>
        <w:tc>
          <w:tcPr>
            <w:tcW w:w="113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right"/>
              <w:rPr>
                <w:color w:val="000000"/>
                <w:sz w:val="20"/>
                <w:szCs w:val="20"/>
              </w:rPr>
            </w:pPr>
            <w:r>
              <w:rPr>
                <w:color w:val="000000"/>
                <w:sz w:val="20"/>
                <w:szCs w:val="20"/>
              </w:rPr>
              <w:t>581</w:t>
            </w:r>
          </w:p>
        </w:tc>
        <w:tc>
          <w:tcPr>
            <w:tcW w:w="109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right"/>
              <w:rPr>
                <w:b/>
                <w:b/>
                <w:color w:val="000000"/>
                <w:sz w:val="20"/>
                <w:szCs w:val="20"/>
              </w:rPr>
            </w:pPr>
            <w:r>
              <w:rPr>
                <w:b/>
                <w:color w:val="000000"/>
                <w:sz w:val="20"/>
                <w:szCs w:val="20"/>
              </w:rPr>
              <w:t>272,77</w:t>
            </w:r>
          </w:p>
        </w:tc>
      </w:tr>
      <w:tr>
        <w:trPr>
          <w:trHeight w:val="1230" w:hRule="atLeast"/>
        </w:trPr>
        <w:tc>
          <w:tcPr>
            <w:tcW w:w="3653" w:type="dxa"/>
            <w:tcBorders>
              <w:left w:val="single" w:sz="8" w:space="0" w:color="00000A"/>
              <w:bottom w:val="single" w:sz="8" w:space="0" w:color="00000A"/>
              <w:insideH w:val="single" w:sz="8" w:space="0" w:color="00000A"/>
            </w:tcBorders>
            <w:shd w:color="auto" w:fill="auto" w:val="clear"/>
            <w:tcMar>
              <w:left w:w="60" w:type="dxa"/>
            </w:tcMar>
          </w:tcPr>
          <w:p>
            <w:pPr>
              <w:pStyle w:val="Normal"/>
              <w:jc w:val="both"/>
              <w:rPr>
                <w:sz w:val="20"/>
                <w:szCs w:val="20"/>
              </w:rPr>
            </w:pPr>
            <w:r>
              <w:rPr>
                <w:sz w:val="20"/>
                <w:szCs w:val="20"/>
              </w:rPr>
              <w:t xml:space="preserve">11/2015: Acompanhamento e avaliação da metodologia de planejamento, realização e execução das metas físicas e financeiras dos programas e ações da UFRPE referente ao exercício de 2014 </w:t>
            </w:r>
          </w:p>
        </w:tc>
        <w:tc>
          <w:tcPr>
            <w:tcW w:w="1419"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jc w:val="right"/>
              <w:rPr>
                <w:color w:val="000000"/>
                <w:sz w:val="20"/>
                <w:szCs w:val="20"/>
              </w:rPr>
            </w:pPr>
            <w:r>
              <w:rPr>
                <w:color w:val="000000"/>
                <w:sz w:val="20"/>
                <w:szCs w:val="20"/>
              </w:rPr>
              <w:t>250</w:t>
            </w:r>
          </w:p>
        </w:tc>
        <w:tc>
          <w:tcPr>
            <w:tcW w:w="12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right"/>
              <w:rPr>
                <w:color w:val="000000"/>
                <w:sz w:val="20"/>
                <w:szCs w:val="20"/>
              </w:rPr>
            </w:pPr>
            <w:r>
              <w:rPr>
                <w:color w:val="000000"/>
                <w:sz w:val="20"/>
                <w:szCs w:val="20"/>
              </w:rPr>
              <w:t>660</w:t>
            </w:r>
          </w:p>
        </w:tc>
        <w:tc>
          <w:tcPr>
            <w:tcW w:w="113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right"/>
              <w:rPr>
                <w:color w:val="000000"/>
                <w:sz w:val="20"/>
                <w:szCs w:val="20"/>
              </w:rPr>
            </w:pPr>
            <w:r>
              <w:rPr>
                <w:color w:val="000000"/>
                <w:sz w:val="20"/>
                <w:szCs w:val="20"/>
              </w:rPr>
              <w:t>410</w:t>
            </w:r>
          </w:p>
        </w:tc>
        <w:tc>
          <w:tcPr>
            <w:tcW w:w="109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right"/>
              <w:rPr>
                <w:b/>
                <w:b/>
                <w:color w:val="000000"/>
                <w:sz w:val="20"/>
                <w:szCs w:val="20"/>
              </w:rPr>
            </w:pPr>
            <w:r>
              <w:rPr>
                <w:b/>
                <w:color w:val="000000"/>
                <w:sz w:val="20"/>
                <w:szCs w:val="20"/>
              </w:rPr>
              <w:t>164,00</w:t>
            </w:r>
          </w:p>
        </w:tc>
      </w:tr>
      <w:tr>
        <w:trPr>
          <w:trHeight w:val="600" w:hRule="atLeast"/>
        </w:trPr>
        <w:tc>
          <w:tcPr>
            <w:tcW w:w="3653" w:type="dxa"/>
            <w:tcBorders/>
            <w:shd w:color="auto" w:fill="auto" w:val="clear"/>
            <w:vAlign w:val="bottom"/>
          </w:tcPr>
          <w:p>
            <w:pPr>
              <w:pStyle w:val="Normal"/>
              <w:rPr>
                <w:color w:val="000000"/>
                <w:sz w:val="20"/>
                <w:szCs w:val="20"/>
              </w:rPr>
            </w:pPr>
            <w:r>
              <w:rPr>
                <w:color w:val="000000"/>
                <w:sz w:val="20"/>
                <w:szCs w:val="20"/>
              </w:rPr>
            </w:r>
          </w:p>
        </w:tc>
        <w:tc>
          <w:tcPr>
            <w:tcW w:w="1419"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65" w:type="dxa"/>
            </w:tcMar>
            <w:vAlign w:val="bottom"/>
          </w:tcPr>
          <w:p>
            <w:pPr>
              <w:pStyle w:val="Normal"/>
              <w:jc w:val="right"/>
              <w:rPr>
                <w:b/>
                <w:b/>
                <w:color w:val="000000"/>
                <w:sz w:val="20"/>
                <w:szCs w:val="20"/>
              </w:rPr>
            </w:pPr>
            <w:r>
              <w:rPr>
                <w:b/>
                <w:color w:val="000000"/>
                <w:sz w:val="20"/>
                <w:szCs w:val="20"/>
              </w:rPr>
              <w:t>1063</w:t>
            </w:r>
          </w:p>
        </w:tc>
        <w:tc>
          <w:tcPr>
            <w:tcW w:w="1290"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right"/>
              <w:rPr>
                <w:b/>
                <w:b/>
                <w:color w:val="000000"/>
                <w:sz w:val="20"/>
                <w:szCs w:val="20"/>
              </w:rPr>
            </w:pPr>
            <w:r>
              <w:rPr>
                <w:b/>
                <w:color w:val="000000"/>
                <w:sz w:val="20"/>
                <w:szCs w:val="20"/>
              </w:rPr>
              <w:t>2624</w:t>
            </w:r>
          </w:p>
        </w:tc>
        <w:tc>
          <w:tcPr>
            <w:tcW w:w="113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right"/>
              <w:rPr>
                <w:b/>
                <w:b/>
                <w:color w:val="000000"/>
                <w:sz w:val="20"/>
                <w:szCs w:val="20"/>
              </w:rPr>
            </w:pPr>
            <w:r>
              <w:rPr>
                <w:b/>
                <w:color w:val="000000"/>
                <w:sz w:val="20"/>
                <w:szCs w:val="20"/>
              </w:rPr>
              <w:t>1561</w:t>
            </w:r>
          </w:p>
        </w:tc>
        <w:tc>
          <w:tcPr>
            <w:tcW w:w="1093"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right"/>
              <w:rPr>
                <w:b/>
                <w:b/>
                <w:color w:val="000000"/>
                <w:sz w:val="20"/>
                <w:szCs w:val="20"/>
              </w:rPr>
            </w:pPr>
            <w:r>
              <w:rPr>
                <w:b/>
                <w:color w:val="000000"/>
                <w:sz w:val="20"/>
                <w:szCs w:val="20"/>
              </w:rPr>
              <w:t>146,85</w:t>
            </w:r>
          </w:p>
        </w:tc>
      </w:tr>
    </w:tbl>
    <w:p>
      <w:pPr>
        <w:pStyle w:val="Standard"/>
        <w:spacing w:lineRule="atLeast" w:line="240"/>
        <w:jc w:val="both"/>
        <w:rPr>
          <w:b/>
          <w:b/>
          <w:bCs/>
        </w:rPr>
      </w:pPr>
      <w:r>
        <w:rPr>
          <w:b/>
          <w:bCs/>
        </w:rPr>
      </w:r>
    </w:p>
    <w:p>
      <w:pPr>
        <w:pStyle w:val="Textbody"/>
        <w:jc w:val="both"/>
        <w:rPr>
          <w:color w:val="000000"/>
        </w:rPr>
      </w:pPr>
      <w:r>
        <w:rPr>
          <w:color w:val="000000"/>
        </w:rPr>
        <w:t xml:space="preserve">Foi solicitado que o Auditor Titular descrevesse as atividades realizadas em cada uma das ações, em especial no que se refere às atividades administrativas da AUDIN e que também justificasse o não preenchimento na </w:t>
      </w:r>
      <w:r>
        <w:rPr>
          <w:bCs/>
        </w:rPr>
        <w:t>Planilha de Controle de Horas da Auditoria Interna</w:t>
      </w:r>
      <w:r>
        <w:rPr>
          <w:color w:val="000000"/>
        </w:rPr>
        <w:t xml:space="preserve"> do campo de informação “DESCRIÇÃO DAS ATIVIDADES”.</w:t>
      </w:r>
      <w:r>
        <w:rPr>
          <w:rFonts w:cs="Times New Roman"/>
        </w:rPr>
        <w:t xml:space="preserve"> </w:t>
      </w:r>
    </w:p>
    <w:p>
      <w:pPr>
        <w:pStyle w:val="Normal"/>
        <w:spacing w:lineRule="auto" w:line="240" w:beforeAutospacing="1" w:afterAutospacing="1"/>
        <w:contextualSpacing/>
        <w:jc w:val="both"/>
        <w:rPr/>
      </w:pPr>
      <w:r>
        <w:rPr/>
        <w:t xml:space="preserve"> </w:t>
      </w:r>
    </w:p>
    <w:p>
      <w:pPr>
        <w:pStyle w:val="Normal"/>
        <w:spacing w:lineRule="auto" w:line="240" w:beforeAutospacing="1" w:afterAutospacing="1"/>
        <w:contextualSpacing/>
        <w:jc w:val="both"/>
        <w:rPr>
          <w:color w:val="FFFFFF" w:themeColor="background1"/>
          <w:spacing w:val="0"/>
          <w:sz w:val="2"/>
          <w:szCs w:val="2"/>
        </w:rPr>
      </w:pPr>
      <w:r>
        <w:rPr>
          <w:color w:val="FFFFFF" w:themeColor="background1"/>
          <w:spacing w:val="0"/>
          <w:sz w:val="2"/>
          <w:szCs w:val="2"/>
        </w:rPr>
        <w:t>##/Fato##</w:t>
      </w:r>
    </w:p>
    <w:p>
      <w:pPr>
        <w:pStyle w:val="Normal"/>
        <w:spacing w:lineRule="auto" w:line="240" w:before="0" w:after="0"/>
        <w:rPr>
          <w:rFonts w:ascii="Arial" w:hAnsi="Arial" w:cs="Arial"/>
          <w:b/>
          <w:b/>
        </w:rPr>
      </w:pPr>
      <w:r>
        <w:rPr>
          <w:b/>
        </w:rPr>
        <w:t>Causa</w:t>
      </w:r>
    </w:p>
    <w:p>
      <w:pPr>
        <w:pStyle w:val="Normal"/>
        <w:spacing w:lineRule="auto" w:line="240" w:before="0" w:after="0"/>
        <w:rPr>
          <w:b/>
          <w:b/>
        </w:rPr>
      </w:pPr>
      <w:r>
        <w:rPr>
          <w:b/>
        </w:rPr>
      </w:r>
    </w:p>
    <w:p>
      <w:pPr>
        <w:pStyle w:val="Normal"/>
        <w:spacing w:beforeAutospacing="1" w:afterAutospacing="1"/>
        <w:contextualSpacing/>
        <w:jc w:val="both"/>
        <w:rPr/>
      </w:pPr>
      <w:r>
        <w:rPr>
          <w:lang w:eastAsia="pt-BR"/>
        </w:rPr>
        <w:t>Fragilidades nos controles internos da UFRPE no tocante ao planejamento, à execução e à coordenação e acompanhamento das ações de controle da unidade de auditoria interna, acarretando em grande dispêndio de tempo para realização das atividades previstas.</w:t>
      </w:r>
      <w:r>
        <w:rPr/>
        <w:t xml:space="preserve"> </w:t>
      </w:r>
    </w:p>
    <w:p>
      <w:pPr>
        <w:pStyle w:val="Normal"/>
        <w:spacing w:lineRule="auto" w:line="240" w:beforeAutospacing="1" w:afterAutospacing="1"/>
        <w:contextualSpacing/>
        <w:jc w:val="both"/>
        <w:rPr>
          <w:color w:val="FFFFFF" w:themeColor="background1"/>
          <w:spacing w:val="0"/>
          <w:sz w:val="2"/>
          <w:szCs w:val="2"/>
        </w:rPr>
      </w:pPr>
      <w:r>
        <w:rPr>
          <w:color w:val="FFFFFF" w:themeColor="background1"/>
          <w:spacing w:val="0"/>
          <w:sz w:val="2"/>
          <w:szCs w:val="2"/>
        </w:rPr>
        <w:t>##/Causa##</w:t>
      </w:r>
    </w:p>
    <w:p>
      <w:pPr>
        <w:pStyle w:val="Normal"/>
        <w:spacing w:lineRule="auto" w:line="240" w:before="0" w:after="0"/>
        <w:rPr>
          <w:b/>
          <w:b/>
        </w:rPr>
      </w:pPr>
      <w:r>
        <w:rPr>
          <w:b/>
        </w:rPr>
      </w:r>
    </w:p>
    <w:p>
      <w:pPr>
        <w:pStyle w:val="Normal"/>
        <w:spacing w:lineRule="auto" w:line="240" w:before="0" w:after="0"/>
        <w:rPr>
          <w:rFonts w:ascii="Arial" w:hAnsi="Arial" w:cs="Arial"/>
          <w:b/>
          <w:b/>
        </w:rPr>
      </w:pPr>
      <w:r>
        <w:rPr>
          <w:b/>
        </w:rPr>
        <w:t>Manifestação da Unidade Examinada</w:t>
      </w:r>
    </w:p>
    <w:p>
      <w:pPr>
        <w:pStyle w:val="Normal"/>
        <w:spacing w:lineRule="auto" w:line="240" w:before="0" w:after="0"/>
        <w:rPr>
          <w:b/>
          <w:b/>
        </w:rPr>
      </w:pPr>
      <w:r>
        <w:rPr>
          <w:b/>
        </w:rPr>
      </w:r>
    </w:p>
    <w:p>
      <w:pPr>
        <w:pStyle w:val="Textbody"/>
        <w:jc w:val="both"/>
        <w:rPr>
          <w:sz w:val="28"/>
          <w:szCs w:val="28"/>
        </w:rPr>
      </w:pPr>
      <w:r>
        <w:rPr>
          <w:rFonts w:eastAsia="Times New Roman" w:cs="Times New Roman" w:ascii="Liberation Serif" w:hAnsi="Liberation Serif"/>
          <w:i/>
          <w:color w:val="000000"/>
        </w:rPr>
        <w:t xml:space="preserve"> </w:t>
      </w:r>
      <w:r>
        <w:rPr>
          <w:color w:val="000000"/>
        </w:rPr>
        <w:t xml:space="preserve">O Auditor Titular apresentou os seguintes esclarecimentos, por meio do </w:t>
      </w:r>
      <w:r>
        <w:rPr/>
        <w:t>OFÍCIO N</w:t>
      </w:r>
      <w:r>
        <w:rPr>
          <w:rFonts w:ascii="Symbol" w:hAnsi="Symbol"/>
        </w:rPr>
        <w:t></w:t>
      </w:r>
      <w:r>
        <w:rPr/>
        <w:t xml:space="preserve"> 16/2015-AUDIN, de 27/10/2015.</w:t>
      </w:r>
    </w:p>
    <w:p>
      <w:pPr>
        <w:pStyle w:val="Western"/>
        <w:spacing w:lineRule="atLeast" w:line="102" w:before="280" w:after="0"/>
        <w:jc w:val="both"/>
        <w:rPr>
          <w:i/>
          <w:i/>
        </w:rPr>
      </w:pPr>
      <w:r>
        <w:rPr/>
        <w:t>“</w:t>
      </w:r>
      <w:r>
        <w:rPr>
          <w:i/>
        </w:rPr>
        <w:t xml:space="preserve">Em relação à </w:t>
      </w:r>
      <w:r>
        <w:rPr>
          <w:bCs/>
          <w:i/>
        </w:rPr>
        <w:t>atividade n. 01/2015 do PAINT/2015</w:t>
      </w:r>
      <w:r>
        <w:rPr>
          <w:i/>
        </w:rPr>
        <w:t xml:space="preserve">, informamos que houve erro devido à utilização do Libreoffice e o Microsoft Office pela AUDIN, softwares diferentes, ocasionando divergências, as quais seguem abaixo: </w:t>
      </w:r>
    </w:p>
    <w:p>
      <w:pPr>
        <w:pStyle w:val="Normal"/>
        <w:spacing w:beforeAutospacing="1" w:after="200"/>
        <w:rPr>
          <w:rFonts w:eastAsia="Times New Roman"/>
          <w:i/>
          <w:i/>
          <w:lang w:eastAsia="pt-BR"/>
        </w:rPr>
      </w:pPr>
      <w:r>
        <w:rPr>
          <w:rFonts w:eastAsia="Times New Roman"/>
          <w:bCs/>
          <w:i/>
          <w:lang w:eastAsia="pt-BR"/>
        </w:rPr>
        <w:t xml:space="preserve">- Informações apresentadas à CGU por meio do Ofício n. 15/2015-AUDIN: </w:t>
      </w:r>
    </w:p>
    <w:tbl>
      <w:tblPr>
        <w:tblW w:w="8505" w:type="dxa"/>
        <w:jc w:val="left"/>
        <w:tblInd w:w="218"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0" w:type="dxa"/>
          <w:left w:w="60" w:type="dxa"/>
          <w:bottom w:w="0" w:type="dxa"/>
          <w:right w:w="68" w:type="dxa"/>
        </w:tblCellMar>
        <w:tblLook w:noVBand="1" w:val="04a0" w:noHBand="0" w:lastColumn="0" w:firstColumn="1" w:lastRow="0" w:firstRow="1"/>
      </w:tblPr>
      <w:tblGrid>
        <w:gridCol w:w="1985"/>
        <w:gridCol w:w="1274"/>
        <w:gridCol w:w="1276"/>
        <w:gridCol w:w="993"/>
        <w:gridCol w:w="1276"/>
        <w:gridCol w:w="1133"/>
        <w:gridCol w:w="567"/>
      </w:tblGrid>
      <w:tr>
        <w:trPr>
          <w:trHeight w:val="135" w:hRule="atLeast"/>
        </w:trPr>
        <w:tc>
          <w:tcPr>
            <w:tcW w:w="198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color="auto" w:fill="FFFFFF" w:val="clear"/>
            <w:tcMar>
              <w:left w:w="60" w:type="dxa"/>
            </w:tcMar>
            <w:vAlign w:val="bottom"/>
          </w:tcPr>
          <w:p>
            <w:pPr>
              <w:pStyle w:val="Normal"/>
              <w:spacing w:lineRule="atLeast" w:line="135" w:beforeAutospacing="1" w:after="119"/>
              <w:jc w:val="center"/>
              <w:rPr>
                <w:rFonts w:eastAsia="Times New Roman"/>
                <w:i/>
                <w:i/>
                <w:sz w:val="20"/>
                <w:szCs w:val="20"/>
                <w:lang w:eastAsia="pt-BR"/>
              </w:rPr>
            </w:pPr>
            <w:r>
              <w:rPr>
                <w:rFonts w:eastAsia="Times New Roman"/>
                <w:bCs/>
                <w:i/>
                <w:color w:val="000000"/>
                <w:sz w:val="20"/>
                <w:szCs w:val="20"/>
                <w:lang w:eastAsia="pt-BR"/>
              </w:rPr>
              <w:t>ATIVIDADE</w:t>
            </w:r>
          </w:p>
        </w:tc>
        <w:tc>
          <w:tcPr>
            <w:tcW w:w="1274" w:type="dxa"/>
            <w:tcBorders>
              <w:top w:val="single" w:sz="6" w:space="0" w:color="00000A"/>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35" w:beforeAutospacing="1" w:after="119"/>
              <w:jc w:val="center"/>
              <w:rPr>
                <w:rFonts w:eastAsia="Times New Roman"/>
                <w:i/>
                <w:i/>
                <w:sz w:val="20"/>
                <w:szCs w:val="20"/>
                <w:lang w:eastAsia="pt-BR"/>
              </w:rPr>
            </w:pPr>
            <w:r>
              <w:rPr>
                <w:rFonts w:eastAsia="Times New Roman"/>
                <w:bCs/>
                <w:i/>
                <w:color w:val="000000"/>
                <w:sz w:val="20"/>
                <w:szCs w:val="20"/>
                <w:lang w:eastAsia="pt-BR"/>
              </w:rPr>
              <w:t>ANTÔNIO</w:t>
            </w:r>
          </w:p>
        </w:tc>
        <w:tc>
          <w:tcPr>
            <w:tcW w:w="1276" w:type="dxa"/>
            <w:tcBorders>
              <w:top w:val="single" w:sz="6" w:space="0" w:color="00000A"/>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35" w:beforeAutospacing="1" w:after="119"/>
              <w:jc w:val="center"/>
              <w:rPr>
                <w:rFonts w:eastAsia="Times New Roman"/>
                <w:i/>
                <w:i/>
                <w:sz w:val="20"/>
                <w:szCs w:val="20"/>
                <w:lang w:eastAsia="pt-BR"/>
              </w:rPr>
            </w:pPr>
            <w:r>
              <w:rPr>
                <w:rFonts w:eastAsia="Times New Roman"/>
                <w:bCs/>
                <w:i/>
                <w:color w:val="000000"/>
                <w:sz w:val="20"/>
                <w:szCs w:val="20"/>
                <w:lang w:eastAsia="pt-BR"/>
              </w:rPr>
              <w:t>CLAYTON</w:t>
            </w:r>
          </w:p>
        </w:tc>
        <w:tc>
          <w:tcPr>
            <w:tcW w:w="993" w:type="dxa"/>
            <w:tcBorders>
              <w:top w:val="single" w:sz="6" w:space="0" w:color="00000A"/>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35" w:beforeAutospacing="1" w:after="119"/>
              <w:jc w:val="center"/>
              <w:rPr>
                <w:rFonts w:eastAsia="Times New Roman"/>
                <w:i/>
                <w:i/>
                <w:sz w:val="20"/>
                <w:szCs w:val="20"/>
                <w:lang w:eastAsia="pt-BR"/>
              </w:rPr>
            </w:pPr>
            <w:r>
              <w:rPr>
                <w:rFonts w:eastAsia="Times New Roman"/>
                <w:bCs/>
                <w:i/>
                <w:color w:val="000000"/>
                <w:sz w:val="20"/>
                <w:szCs w:val="20"/>
                <w:lang w:eastAsia="pt-BR"/>
              </w:rPr>
              <w:t>JANE</w:t>
            </w:r>
          </w:p>
        </w:tc>
        <w:tc>
          <w:tcPr>
            <w:tcW w:w="1276" w:type="dxa"/>
            <w:tcBorders>
              <w:top w:val="single" w:sz="6" w:space="0" w:color="00000A"/>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35" w:beforeAutospacing="1" w:after="119"/>
              <w:jc w:val="center"/>
              <w:rPr>
                <w:rFonts w:eastAsia="Times New Roman"/>
                <w:i/>
                <w:i/>
                <w:sz w:val="20"/>
                <w:szCs w:val="20"/>
                <w:lang w:eastAsia="pt-BR"/>
              </w:rPr>
            </w:pPr>
            <w:r>
              <w:rPr>
                <w:rFonts w:eastAsia="Times New Roman"/>
                <w:bCs/>
                <w:i/>
                <w:color w:val="000000"/>
                <w:sz w:val="20"/>
                <w:szCs w:val="20"/>
                <w:lang w:eastAsia="pt-BR"/>
              </w:rPr>
              <w:t>JULIANA</w:t>
            </w:r>
          </w:p>
        </w:tc>
        <w:tc>
          <w:tcPr>
            <w:tcW w:w="1133" w:type="dxa"/>
            <w:tcBorders>
              <w:top w:val="single" w:sz="6" w:space="0" w:color="00000A"/>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35" w:beforeAutospacing="1" w:after="119"/>
              <w:jc w:val="center"/>
              <w:rPr>
                <w:rFonts w:eastAsia="Times New Roman"/>
                <w:i/>
                <w:i/>
                <w:sz w:val="20"/>
                <w:szCs w:val="20"/>
                <w:lang w:eastAsia="pt-BR"/>
              </w:rPr>
            </w:pPr>
            <w:r>
              <w:rPr>
                <w:rFonts w:eastAsia="Times New Roman"/>
                <w:bCs/>
                <w:i/>
                <w:color w:val="000000"/>
                <w:sz w:val="20"/>
                <w:szCs w:val="20"/>
                <w:lang w:eastAsia="pt-BR"/>
              </w:rPr>
              <w:t>ROSANE</w:t>
            </w:r>
          </w:p>
        </w:tc>
        <w:tc>
          <w:tcPr>
            <w:tcW w:w="567" w:type="dxa"/>
            <w:tcBorders>
              <w:top w:val="single" w:sz="6" w:space="0" w:color="00000A"/>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35" w:beforeAutospacing="1" w:after="119"/>
              <w:jc w:val="center"/>
              <w:rPr>
                <w:rFonts w:eastAsia="Times New Roman"/>
                <w:i/>
                <w:i/>
                <w:sz w:val="20"/>
                <w:szCs w:val="20"/>
                <w:lang w:eastAsia="pt-BR"/>
              </w:rPr>
            </w:pPr>
            <w:r>
              <w:rPr>
                <w:rFonts w:eastAsia="Times New Roman"/>
                <w:bCs/>
                <w:i/>
                <w:color w:val="000000"/>
                <w:sz w:val="20"/>
                <w:szCs w:val="20"/>
                <w:lang w:eastAsia="pt-BR"/>
              </w:rPr>
              <w:t>Total geral</w:t>
            </w:r>
          </w:p>
        </w:tc>
      </w:tr>
      <w:tr>
        <w:trPr>
          <w:trHeight w:val="150" w:hRule="atLeast"/>
        </w:trPr>
        <w:tc>
          <w:tcPr>
            <w:tcW w:w="1985" w:type="dxa"/>
            <w:tcBorders>
              <w:left w:val="single" w:sz="6" w:space="0" w:color="00000A"/>
              <w:bottom w:val="single" w:sz="6" w:space="0" w:color="00000A"/>
              <w:right w:val="single" w:sz="6" w:space="0" w:color="00000A"/>
              <w:insideH w:val="single" w:sz="6" w:space="0" w:color="00000A"/>
              <w:insideV w:val="single" w:sz="6" w:space="0" w:color="00000A"/>
            </w:tcBorders>
            <w:shd w:color="auto" w:fill="FFFFFF" w:val="clear"/>
            <w:tcMar>
              <w:left w:w="60" w:type="dxa"/>
            </w:tcMar>
            <w:vAlign w:val="bottom"/>
          </w:tcPr>
          <w:p>
            <w:pPr>
              <w:pStyle w:val="Normal"/>
              <w:spacing w:lineRule="atLeast" w:line="150" w:beforeAutospacing="1" w:after="119"/>
              <w:rPr>
                <w:rFonts w:eastAsia="Times New Roman"/>
                <w:i/>
                <w:i/>
                <w:sz w:val="20"/>
                <w:szCs w:val="20"/>
                <w:lang w:eastAsia="pt-BR"/>
              </w:rPr>
            </w:pPr>
            <w:r>
              <w:rPr>
                <w:rFonts w:eastAsia="Times New Roman"/>
                <w:i/>
                <w:color w:val="000000"/>
                <w:sz w:val="20"/>
                <w:szCs w:val="20"/>
                <w:lang w:eastAsia="pt-BR"/>
              </w:rPr>
              <w:t>01 - Elaboração do RAINT 2014</w:t>
            </w:r>
          </w:p>
        </w:tc>
        <w:tc>
          <w:tcPr>
            <w:tcW w:w="1274"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50" w:beforeAutospacing="1" w:after="119"/>
              <w:jc w:val="center"/>
              <w:rPr>
                <w:rFonts w:eastAsia="Times New Roman"/>
                <w:i/>
                <w:i/>
                <w:sz w:val="20"/>
                <w:szCs w:val="20"/>
                <w:lang w:eastAsia="pt-BR"/>
              </w:rPr>
            </w:pPr>
            <w:r>
              <w:rPr>
                <w:rFonts w:eastAsia="Times New Roman"/>
                <w:i/>
                <w:color w:val="000000"/>
                <w:sz w:val="20"/>
                <w:szCs w:val="20"/>
                <w:lang w:eastAsia="pt-BR"/>
              </w:rPr>
              <w:t>44</w:t>
            </w:r>
          </w:p>
        </w:tc>
        <w:tc>
          <w:tcPr>
            <w:tcW w:w="1276"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50" w:beforeAutospacing="1" w:after="119"/>
              <w:jc w:val="center"/>
              <w:rPr>
                <w:rFonts w:eastAsia="Times New Roman"/>
                <w:i/>
                <w:i/>
                <w:sz w:val="20"/>
                <w:szCs w:val="20"/>
                <w:lang w:eastAsia="pt-BR"/>
              </w:rPr>
            </w:pPr>
            <w:r>
              <w:rPr>
                <w:rFonts w:eastAsia="Times New Roman"/>
                <w:i/>
                <w:color w:val="000000"/>
                <w:sz w:val="20"/>
                <w:szCs w:val="20"/>
                <w:lang w:eastAsia="pt-BR"/>
              </w:rPr>
              <w:t>64</w:t>
            </w:r>
          </w:p>
        </w:tc>
        <w:tc>
          <w:tcPr>
            <w:tcW w:w="993"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50" w:beforeAutospacing="1" w:after="119"/>
              <w:jc w:val="center"/>
              <w:rPr>
                <w:rFonts w:eastAsia="Times New Roman"/>
                <w:i/>
                <w:i/>
                <w:sz w:val="20"/>
                <w:szCs w:val="20"/>
                <w:lang w:eastAsia="pt-BR"/>
              </w:rPr>
            </w:pPr>
            <w:r>
              <w:rPr>
                <w:rFonts w:eastAsia="Times New Roman"/>
                <w:i/>
                <w:color w:val="000000"/>
                <w:sz w:val="20"/>
                <w:szCs w:val="20"/>
                <w:lang w:eastAsia="pt-BR"/>
              </w:rPr>
              <w:t>32</w:t>
            </w:r>
          </w:p>
        </w:tc>
        <w:tc>
          <w:tcPr>
            <w:tcW w:w="1276"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50" w:beforeAutospacing="1" w:after="119"/>
              <w:jc w:val="center"/>
              <w:rPr>
                <w:rFonts w:eastAsia="Times New Roman"/>
                <w:i/>
                <w:i/>
                <w:sz w:val="20"/>
                <w:szCs w:val="20"/>
                <w:lang w:eastAsia="pt-BR"/>
              </w:rPr>
            </w:pPr>
            <w:r>
              <w:rPr>
                <w:rFonts w:eastAsia="Times New Roman"/>
                <w:i/>
                <w:color w:val="000000"/>
                <w:sz w:val="20"/>
                <w:szCs w:val="20"/>
                <w:lang w:eastAsia="pt-BR"/>
              </w:rPr>
              <w:t>80</w:t>
            </w:r>
          </w:p>
        </w:tc>
        <w:tc>
          <w:tcPr>
            <w:tcW w:w="1133"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50" w:beforeAutospacing="1" w:after="119"/>
              <w:jc w:val="center"/>
              <w:rPr>
                <w:rFonts w:eastAsia="Times New Roman"/>
                <w:i/>
                <w:i/>
                <w:sz w:val="20"/>
                <w:szCs w:val="20"/>
                <w:lang w:eastAsia="pt-BR"/>
              </w:rPr>
            </w:pPr>
            <w:r>
              <w:rPr>
                <w:rFonts w:eastAsia="Times New Roman"/>
                <w:i/>
                <w:color w:val="000000"/>
                <w:sz w:val="20"/>
                <w:szCs w:val="20"/>
                <w:lang w:eastAsia="pt-BR"/>
              </w:rPr>
              <w:t>96</w:t>
            </w:r>
          </w:p>
        </w:tc>
        <w:tc>
          <w:tcPr>
            <w:tcW w:w="567"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50" w:beforeAutospacing="1" w:after="119"/>
              <w:jc w:val="center"/>
              <w:rPr>
                <w:rFonts w:eastAsia="Times New Roman"/>
                <w:i/>
                <w:i/>
                <w:sz w:val="20"/>
                <w:szCs w:val="20"/>
                <w:lang w:eastAsia="pt-BR"/>
              </w:rPr>
            </w:pPr>
            <w:r>
              <w:rPr>
                <w:rFonts w:eastAsia="Times New Roman"/>
                <w:bCs/>
                <w:i/>
                <w:color w:val="000000"/>
                <w:sz w:val="20"/>
                <w:szCs w:val="20"/>
                <w:lang w:eastAsia="pt-BR"/>
              </w:rPr>
              <w:t>316</w:t>
            </w:r>
          </w:p>
        </w:tc>
      </w:tr>
      <w:tr>
        <w:trPr>
          <w:trHeight w:val="135" w:hRule="atLeast"/>
        </w:trPr>
        <w:tc>
          <w:tcPr>
            <w:tcW w:w="1985" w:type="dxa"/>
            <w:tcBorders>
              <w:left w:val="single" w:sz="6" w:space="0" w:color="00000A"/>
              <w:bottom w:val="single" w:sz="6" w:space="0" w:color="00000A"/>
              <w:right w:val="single" w:sz="6" w:space="0" w:color="00000A"/>
              <w:insideH w:val="single" w:sz="6" w:space="0" w:color="00000A"/>
              <w:insideV w:val="single" w:sz="6" w:space="0" w:color="00000A"/>
            </w:tcBorders>
            <w:shd w:color="auto" w:fill="FFFFFF" w:val="clear"/>
            <w:tcMar>
              <w:left w:w="60" w:type="dxa"/>
            </w:tcMar>
            <w:vAlign w:val="bottom"/>
          </w:tcPr>
          <w:p>
            <w:pPr>
              <w:pStyle w:val="Normal"/>
              <w:spacing w:lineRule="atLeast" w:line="135" w:beforeAutospacing="1" w:after="119"/>
              <w:rPr>
                <w:rFonts w:eastAsia="Times New Roman"/>
                <w:i/>
                <w:i/>
                <w:sz w:val="20"/>
                <w:szCs w:val="20"/>
                <w:lang w:eastAsia="pt-BR"/>
              </w:rPr>
            </w:pPr>
            <w:r>
              <w:rPr>
                <w:rFonts w:eastAsia="Times New Roman"/>
                <w:i/>
                <w:color w:val="000000"/>
                <w:sz w:val="20"/>
                <w:szCs w:val="20"/>
                <w:lang w:eastAsia="pt-BR"/>
              </w:rPr>
              <w:t>03 - Elaboração Rel. Gestão 2014</w:t>
            </w:r>
          </w:p>
        </w:tc>
        <w:tc>
          <w:tcPr>
            <w:tcW w:w="1274"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35" w:beforeAutospacing="1" w:after="119"/>
              <w:jc w:val="center"/>
              <w:rPr>
                <w:rFonts w:eastAsia="Times New Roman"/>
                <w:i/>
                <w:i/>
                <w:sz w:val="20"/>
                <w:szCs w:val="20"/>
                <w:lang w:eastAsia="pt-BR"/>
              </w:rPr>
            </w:pPr>
            <w:r>
              <w:rPr>
                <w:rFonts w:eastAsia="Times New Roman"/>
                <w:i/>
                <w:color w:val="000000"/>
                <w:sz w:val="20"/>
                <w:szCs w:val="20"/>
                <w:lang w:eastAsia="pt-BR"/>
              </w:rPr>
              <w:t>120</w:t>
            </w:r>
          </w:p>
        </w:tc>
        <w:tc>
          <w:tcPr>
            <w:tcW w:w="1276"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35" w:beforeAutospacing="1" w:after="119"/>
              <w:jc w:val="center"/>
              <w:rPr>
                <w:rFonts w:eastAsia="Times New Roman"/>
                <w:i/>
                <w:i/>
                <w:sz w:val="20"/>
                <w:szCs w:val="20"/>
                <w:lang w:eastAsia="pt-BR"/>
              </w:rPr>
            </w:pPr>
            <w:r>
              <w:rPr>
                <w:rFonts w:eastAsia="Times New Roman"/>
                <w:i/>
                <w:color w:val="000000"/>
                <w:sz w:val="20"/>
                <w:szCs w:val="20"/>
                <w:lang w:eastAsia="pt-BR"/>
              </w:rPr>
              <w:t>252</w:t>
            </w:r>
          </w:p>
        </w:tc>
        <w:tc>
          <w:tcPr>
            <w:tcW w:w="993"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35" w:beforeAutospacing="1" w:after="119"/>
              <w:jc w:val="center"/>
              <w:rPr>
                <w:rFonts w:eastAsia="Times New Roman"/>
                <w:i/>
                <w:i/>
                <w:sz w:val="20"/>
                <w:szCs w:val="20"/>
                <w:lang w:eastAsia="pt-BR"/>
              </w:rPr>
            </w:pPr>
            <w:r>
              <w:rPr>
                <w:rFonts w:eastAsia="Times New Roman"/>
                <w:i/>
                <w:color w:val="000000"/>
                <w:sz w:val="20"/>
                <w:szCs w:val="20"/>
                <w:lang w:eastAsia="pt-BR"/>
              </w:rPr>
              <w:t>82</w:t>
            </w:r>
          </w:p>
        </w:tc>
        <w:tc>
          <w:tcPr>
            <w:tcW w:w="1276"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35" w:beforeAutospacing="1" w:after="119"/>
              <w:jc w:val="center"/>
              <w:rPr>
                <w:rFonts w:eastAsia="Times New Roman"/>
                <w:i/>
                <w:i/>
                <w:sz w:val="20"/>
                <w:szCs w:val="20"/>
                <w:lang w:eastAsia="pt-BR"/>
              </w:rPr>
            </w:pPr>
            <w:r>
              <w:rPr>
                <w:rFonts w:eastAsia="Times New Roman"/>
                <w:i/>
                <w:color w:val="000000"/>
                <w:sz w:val="20"/>
                <w:szCs w:val="20"/>
                <w:lang w:eastAsia="pt-BR"/>
              </w:rPr>
              <w:t>264</w:t>
            </w:r>
          </w:p>
        </w:tc>
        <w:tc>
          <w:tcPr>
            <w:tcW w:w="1133"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35" w:beforeAutospacing="1" w:after="119"/>
              <w:jc w:val="center"/>
              <w:rPr>
                <w:rFonts w:eastAsia="Times New Roman"/>
                <w:i/>
                <w:i/>
                <w:sz w:val="20"/>
                <w:szCs w:val="20"/>
                <w:lang w:eastAsia="pt-BR"/>
              </w:rPr>
            </w:pPr>
            <w:r>
              <w:rPr>
                <w:rFonts w:eastAsia="Times New Roman"/>
                <w:i/>
                <w:color w:val="000000"/>
                <w:sz w:val="20"/>
                <w:szCs w:val="20"/>
                <w:lang w:eastAsia="pt-BR"/>
              </w:rPr>
              <w:t>136</w:t>
            </w:r>
          </w:p>
        </w:tc>
        <w:tc>
          <w:tcPr>
            <w:tcW w:w="567"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35" w:beforeAutospacing="1" w:after="119"/>
              <w:jc w:val="center"/>
              <w:rPr>
                <w:rFonts w:eastAsia="Times New Roman"/>
                <w:i/>
                <w:i/>
                <w:sz w:val="20"/>
                <w:szCs w:val="20"/>
                <w:lang w:eastAsia="pt-BR"/>
              </w:rPr>
            </w:pPr>
            <w:r>
              <w:rPr>
                <w:rFonts w:eastAsia="Times New Roman"/>
                <w:bCs/>
                <w:i/>
                <w:color w:val="000000"/>
                <w:sz w:val="20"/>
                <w:szCs w:val="20"/>
                <w:lang w:eastAsia="pt-BR"/>
              </w:rPr>
              <w:t>854</w:t>
            </w:r>
          </w:p>
        </w:tc>
      </w:tr>
    </w:tbl>
    <w:p>
      <w:pPr>
        <w:pStyle w:val="Normal"/>
        <w:spacing w:beforeAutospacing="1" w:after="200"/>
        <w:rPr>
          <w:rFonts w:eastAsia="Times New Roman"/>
          <w:bCs/>
          <w:i/>
          <w:i/>
          <w:lang w:eastAsia="pt-BR"/>
        </w:rPr>
      </w:pPr>
      <w:r>
        <w:rPr>
          <w:rFonts w:eastAsia="Times New Roman"/>
          <w:bCs/>
          <w:i/>
          <w:lang w:eastAsia="pt-BR"/>
        </w:rPr>
        <w:t xml:space="preserve">- Informações corretas: </w:t>
      </w:r>
    </w:p>
    <w:tbl>
      <w:tblPr>
        <w:tblW w:w="8505" w:type="dxa"/>
        <w:jc w:val="left"/>
        <w:tblInd w:w="218"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0" w:type="dxa"/>
          <w:left w:w="60" w:type="dxa"/>
          <w:bottom w:w="0" w:type="dxa"/>
          <w:right w:w="68" w:type="dxa"/>
        </w:tblCellMar>
        <w:tblLook w:noVBand="1" w:val="04a0" w:noHBand="0" w:lastColumn="0" w:firstColumn="1" w:lastRow="0" w:firstRow="1"/>
      </w:tblPr>
      <w:tblGrid>
        <w:gridCol w:w="1985"/>
        <w:gridCol w:w="1274"/>
        <w:gridCol w:w="1276"/>
        <w:gridCol w:w="993"/>
        <w:gridCol w:w="1276"/>
        <w:gridCol w:w="1133"/>
        <w:gridCol w:w="567"/>
      </w:tblGrid>
      <w:tr>
        <w:trPr>
          <w:trHeight w:val="135" w:hRule="atLeast"/>
        </w:trPr>
        <w:tc>
          <w:tcPr>
            <w:tcW w:w="198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color="auto" w:fill="FFFFFF" w:val="clear"/>
            <w:tcMar>
              <w:left w:w="60" w:type="dxa"/>
            </w:tcMar>
            <w:vAlign w:val="bottom"/>
          </w:tcPr>
          <w:p>
            <w:pPr>
              <w:pStyle w:val="Normal"/>
              <w:spacing w:lineRule="atLeast" w:line="135" w:beforeAutospacing="1" w:after="119"/>
              <w:jc w:val="center"/>
              <w:rPr>
                <w:rFonts w:eastAsia="Times New Roman"/>
                <w:i/>
                <w:i/>
                <w:sz w:val="20"/>
                <w:szCs w:val="20"/>
                <w:lang w:eastAsia="pt-BR"/>
              </w:rPr>
            </w:pPr>
            <w:r>
              <w:rPr>
                <w:rFonts w:eastAsia="Times New Roman"/>
                <w:bCs/>
                <w:i/>
                <w:color w:val="000000"/>
                <w:sz w:val="20"/>
                <w:szCs w:val="20"/>
                <w:lang w:eastAsia="pt-BR"/>
              </w:rPr>
              <w:t>ATIVIDADE</w:t>
            </w:r>
          </w:p>
        </w:tc>
        <w:tc>
          <w:tcPr>
            <w:tcW w:w="1274" w:type="dxa"/>
            <w:tcBorders>
              <w:top w:val="single" w:sz="6" w:space="0" w:color="00000A"/>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35" w:beforeAutospacing="1" w:after="119"/>
              <w:jc w:val="center"/>
              <w:rPr>
                <w:rFonts w:eastAsia="Times New Roman"/>
                <w:i/>
                <w:i/>
                <w:sz w:val="20"/>
                <w:szCs w:val="20"/>
                <w:lang w:eastAsia="pt-BR"/>
              </w:rPr>
            </w:pPr>
            <w:r>
              <w:rPr>
                <w:rFonts w:eastAsia="Times New Roman"/>
                <w:bCs/>
                <w:i/>
                <w:color w:val="000000"/>
                <w:sz w:val="20"/>
                <w:szCs w:val="20"/>
                <w:lang w:eastAsia="pt-BR"/>
              </w:rPr>
              <w:t>ANTÔNIO</w:t>
            </w:r>
          </w:p>
        </w:tc>
        <w:tc>
          <w:tcPr>
            <w:tcW w:w="1276" w:type="dxa"/>
            <w:tcBorders>
              <w:top w:val="single" w:sz="6" w:space="0" w:color="00000A"/>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35" w:beforeAutospacing="1" w:after="119"/>
              <w:jc w:val="center"/>
              <w:rPr>
                <w:rFonts w:eastAsia="Times New Roman"/>
                <w:i/>
                <w:i/>
                <w:sz w:val="20"/>
                <w:szCs w:val="20"/>
                <w:lang w:eastAsia="pt-BR"/>
              </w:rPr>
            </w:pPr>
            <w:r>
              <w:rPr>
                <w:rFonts w:eastAsia="Times New Roman"/>
                <w:bCs/>
                <w:i/>
                <w:color w:val="000000"/>
                <w:sz w:val="20"/>
                <w:szCs w:val="20"/>
                <w:lang w:eastAsia="pt-BR"/>
              </w:rPr>
              <w:t>CLAYTON</w:t>
            </w:r>
          </w:p>
        </w:tc>
        <w:tc>
          <w:tcPr>
            <w:tcW w:w="993" w:type="dxa"/>
            <w:tcBorders>
              <w:top w:val="single" w:sz="6" w:space="0" w:color="00000A"/>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35" w:beforeAutospacing="1" w:after="119"/>
              <w:jc w:val="center"/>
              <w:rPr>
                <w:rFonts w:eastAsia="Times New Roman"/>
                <w:i/>
                <w:i/>
                <w:sz w:val="20"/>
                <w:szCs w:val="20"/>
                <w:lang w:eastAsia="pt-BR"/>
              </w:rPr>
            </w:pPr>
            <w:r>
              <w:rPr>
                <w:rFonts w:eastAsia="Times New Roman"/>
                <w:bCs/>
                <w:i/>
                <w:color w:val="000000"/>
                <w:sz w:val="20"/>
                <w:szCs w:val="20"/>
                <w:lang w:eastAsia="pt-BR"/>
              </w:rPr>
              <w:t>JANE</w:t>
            </w:r>
          </w:p>
        </w:tc>
        <w:tc>
          <w:tcPr>
            <w:tcW w:w="1276" w:type="dxa"/>
            <w:tcBorders>
              <w:top w:val="single" w:sz="6" w:space="0" w:color="00000A"/>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35" w:beforeAutospacing="1" w:after="119"/>
              <w:jc w:val="center"/>
              <w:rPr>
                <w:rFonts w:eastAsia="Times New Roman"/>
                <w:i/>
                <w:i/>
                <w:sz w:val="20"/>
                <w:szCs w:val="20"/>
                <w:lang w:eastAsia="pt-BR"/>
              </w:rPr>
            </w:pPr>
            <w:r>
              <w:rPr>
                <w:rFonts w:eastAsia="Times New Roman"/>
                <w:bCs/>
                <w:i/>
                <w:color w:val="000000"/>
                <w:sz w:val="20"/>
                <w:szCs w:val="20"/>
                <w:lang w:eastAsia="pt-BR"/>
              </w:rPr>
              <w:t>JULIANA</w:t>
            </w:r>
          </w:p>
        </w:tc>
        <w:tc>
          <w:tcPr>
            <w:tcW w:w="1133" w:type="dxa"/>
            <w:tcBorders>
              <w:top w:val="single" w:sz="6" w:space="0" w:color="00000A"/>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35" w:beforeAutospacing="1" w:after="119"/>
              <w:jc w:val="center"/>
              <w:rPr>
                <w:rFonts w:eastAsia="Times New Roman"/>
                <w:i/>
                <w:i/>
                <w:sz w:val="20"/>
                <w:szCs w:val="20"/>
                <w:lang w:eastAsia="pt-BR"/>
              </w:rPr>
            </w:pPr>
            <w:r>
              <w:rPr>
                <w:rFonts w:eastAsia="Times New Roman"/>
                <w:bCs/>
                <w:i/>
                <w:color w:val="000000"/>
                <w:sz w:val="20"/>
                <w:szCs w:val="20"/>
                <w:lang w:eastAsia="pt-BR"/>
              </w:rPr>
              <w:t>ROSANE</w:t>
            </w:r>
          </w:p>
        </w:tc>
        <w:tc>
          <w:tcPr>
            <w:tcW w:w="567" w:type="dxa"/>
            <w:tcBorders>
              <w:top w:val="single" w:sz="6" w:space="0" w:color="00000A"/>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35" w:beforeAutospacing="1" w:after="119"/>
              <w:jc w:val="center"/>
              <w:rPr>
                <w:rFonts w:eastAsia="Times New Roman"/>
                <w:i/>
                <w:i/>
                <w:sz w:val="20"/>
                <w:szCs w:val="20"/>
                <w:lang w:eastAsia="pt-BR"/>
              </w:rPr>
            </w:pPr>
            <w:r>
              <w:rPr>
                <w:rFonts w:eastAsia="Times New Roman"/>
                <w:bCs/>
                <w:i/>
                <w:color w:val="000000"/>
                <w:sz w:val="20"/>
                <w:szCs w:val="20"/>
                <w:lang w:eastAsia="pt-BR"/>
              </w:rPr>
              <w:t>Total geral</w:t>
            </w:r>
          </w:p>
        </w:tc>
      </w:tr>
      <w:tr>
        <w:trPr>
          <w:trHeight w:val="150" w:hRule="atLeast"/>
        </w:trPr>
        <w:tc>
          <w:tcPr>
            <w:tcW w:w="1985" w:type="dxa"/>
            <w:tcBorders>
              <w:left w:val="single" w:sz="6" w:space="0" w:color="00000A"/>
              <w:bottom w:val="single" w:sz="6" w:space="0" w:color="00000A"/>
              <w:right w:val="single" w:sz="6" w:space="0" w:color="00000A"/>
              <w:insideH w:val="single" w:sz="6" w:space="0" w:color="00000A"/>
              <w:insideV w:val="single" w:sz="6" w:space="0" w:color="00000A"/>
            </w:tcBorders>
            <w:shd w:color="auto" w:fill="FFFFFF" w:val="clear"/>
            <w:tcMar>
              <w:left w:w="60" w:type="dxa"/>
            </w:tcMar>
            <w:vAlign w:val="bottom"/>
          </w:tcPr>
          <w:p>
            <w:pPr>
              <w:pStyle w:val="Normal"/>
              <w:spacing w:lineRule="atLeast" w:line="150" w:beforeAutospacing="1" w:after="119"/>
              <w:rPr>
                <w:rFonts w:eastAsia="Times New Roman"/>
                <w:i/>
                <w:i/>
                <w:sz w:val="20"/>
                <w:szCs w:val="20"/>
                <w:lang w:eastAsia="pt-BR"/>
              </w:rPr>
            </w:pPr>
            <w:r>
              <w:rPr>
                <w:rFonts w:eastAsia="Times New Roman"/>
                <w:i/>
                <w:color w:val="000000"/>
                <w:sz w:val="20"/>
                <w:szCs w:val="20"/>
                <w:lang w:eastAsia="pt-BR"/>
              </w:rPr>
              <w:t>01 - Elaboração do RAINT 2014</w:t>
            </w:r>
          </w:p>
        </w:tc>
        <w:tc>
          <w:tcPr>
            <w:tcW w:w="1274"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50" w:beforeAutospacing="1" w:after="119"/>
              <w:jc w:val="center"/>
              <w:rPr>
                <w:rFonts w:eastAsia="Times New Roman"/>
                <w:i/>
                <w:i/>
                <w:sz w:val="20"/>
                <w:szCs w:val="20"/>
                <w:lang w:eastAsia="pt-BR"/>
              </w:rPr>
            </w:pPr>
            <w:r>
              <w:rPr>
                <w:rFonts w:eastAsia="Times New Roman"/>
                <w:i/>
                <w:color w:val="000000"/>
                <w:sz w:val="20"/>
                <w:szCs w:val="20"/>
                <w:lang w:eastAsia="pt-BR"/>
              </w:rPr>
              <w:t>44</w:t>
            </w:r>
          </w:p>
        </w:tc>
        <w:tc>
          <w:tcPr>
            <w:tcW w:w="1276"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50" w:beforeAutospacing="1" w:after="119"/>
              <w:jc w:val="center"/>
              <w:rPr>
                <w:rFonts w:eastAsia="Times New Roman"/>
                <w:i/>
                <w:i/>
                <w:sz w:val="20"/>
                <w:szCs w:val="20"/>
                <w:lang w:eastAsia="pt-BR"/>
              </w:rPr>
            </w:pPr>
            <w:r>
              <w:rPr>
                <w:rFonts w:eastAsia="Times New Roman"/>
                <w:i/>
                <w:color w:val="000000"/>
                <w:sz w:val="20"/>
                <w:szCs w:val="20"/>
                <w:lang w:eastAsia="pt-BR"/>
              </w:rPr>
              <w:t>64</w:t>
            </w:r>
          </w:p>
        </w:tc>
        <w:tc>
          <w:tcPr>
            <w:tcW w:w="993"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50" w:beforeAutospacing="1" w:after="119"/>
              <w:jc w:val="center"/>
              <w:rPr>
                <w:rFonts w:eastAsia="Times New Roman"/>
                <w:i/>
                <w:i/>
                <w:sz w:val="20"/>
                <w:szCs w:val="20"/>
                <w:lang w:eastAsia="pt-BR"/>
              </w:rPr>
            </w:pPr>
            <w:r>
              <w:rPr>
                <w:rFonts w:eastAsia="Times New Roman"/>
                <w:i/>
                <w:color w:val="000000"/>
                <w:sz w:val="20"/>
                <w:szCs w:val="20"/>
                <w:lang w:eastAsia="pt-BR"/>
              </w:rPr>
              <w:t>32</w:t>
            </w:r>
          </w:p>
        </w:tc>
        <w:tc>
          <w:tcPr>
            <w:tcW w:w="1276"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50" w:beforeAutospacing="1" w:after="119"/>
              <w:jc w:val="center"/>
              <w:rPr>
                <w:rFonts w:eastAsia="Times New Roman"/>
                <w:i/>
                <w:i/>
                <w:sz w:val="20"/>
                <w:szCs w:val="20"/>
                <w:lang w:eastAsia="pt-BR"/>
              </w:rPr>
            </w:pPr>
            <w:r>
              <w:rPr>
                <w:rFonts w:eastAsia="Times New Roman"/>
                <w:i/>
                <w:color w:val="000000"/>
                <w:sz w:val="20"/>
                <w:szCs w:val="20"/>
                <w:lang w:eastAsia="pt-BR"/>
              </w:rPr>
              <w:t>80</w:t>
            </w:r>
          </w:p>
        </w:tc>
        <w:tc>
          <w:tcPr>
            <w:tcW w:w="1133"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50" w:beforeAutospacing="1" w:after="119"/>
              <w:jc w:val="center"/>
              <w:rPr>
                <w:rFonts w:eastAsia="Times New Roman"/>
                <w:i/>
                <w:i/>
                <w:sz w:val="20"/>
                <w:szCs w:val="20"/>
                <w:lang w:eastAsia="pt-BR"/>
              </w:rPr>
            </w:pPr>
            <w:r>
              <w:rPr>
                <w:rFonts w:eastAsia="Times New Roman"/>
                <w:i/>
                <w:color w:val="000000"/>
                <w:sz w:val="20"/>
                <w:szCs w:val="20"/>
                <w:lang w:eastAsia="pt-BR"/>
              </w:rPr>
              <w:t>00</w:t>
            </w:r>
          </w:p>
        </w:tc>
        <w:tc>
          <w:tcPr>
            <w:tcW w:w="567"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lineRule="atLeast" w:line="150" w:beforeAutospacing="1" w:after="119"/>
              <w:jc w:val="center"/>
              <w:rPr>
                <w:rFonts w:eastAsia="Times New Roman"/>
                <w:i/>
                <w:i/>
                <w:sz w:val="20"/>
                <w:szCs w:val="20"/>
                <w:lang w:eastAsia="pt-BR"/>
              </w:rPr>
            </w:pPr>
            <w:r>
              <w:rPr>
                <w:rFonts w:eastAsia="Times New Roman"/>
                <w:bCs/>
                <w:i/>
                <w:color w:val="000000"/>
                <w:sz w:val="20"/>
                <w:szCs w:val="20"/>
                <w:lang w:eastAsia="pt-BR"/>
              </w:rPr>
              <w:t>220</w:t>
            </w:r>
          </w:p>
        </w:tc>
      </w:tr>
      <w:tr>
        <w:trPr>
          <w:trHeight w:val="450" w:hRule="atLeast"/>
        </w:trPr>
        <w:tc>
          <w:tcPr>
            <w:tcW w:w="1985" w:type="dxa"/>
            <w:tcBorders>
              <w:left w:val="single" w:sz="6" w:space="0" w:color="00000A"/>
              <w:bottom w:val="single" w:sz="6" w:space="0" w:color="00000A"/>
              <w:right w:val="single" w:sz="6" w:space="0" w:color="00000A"/>
              <w:insideH w:val="single" w:sz="6" w:space="0" w:color="00000A"/>
              <w:insideV w:val="single" w:sz="6" w:space="0" w:color="00000A"/>
            </w:tcBorders>
            <w:shd w:color="auto" w:fill="FFFFFF" w:val="clear"/>
            <w:tcMar>
              <w:left w:w="60" w:type="dxa"/>
            </w:tcMar>
            <w:vAlign w:val="bottom"/>
          </w:tcPr>
          <w:p>
            <w:pPr>
              <w:pStyle w:val="Normal"/>
              <w:spacing w:beforeAutospacing="1" w:after="119"/>
              <w:rPr>
                <w:rFonts w:eastAsia="Times New Roman"/>
                <w:i/>
                <w:i/>
                <w:sz w:val="20"/>
                <w:szCs w:val="20"/>
                <w:lang w:eastAsia="pt-BR"/>
              </w:rPr>
            </w:pPr>
            <w:r>
              <w:rPr>
                <w:rFonts w:eastAsia="Times New Roman"/>
                <w:i/>
                <w:color w:val="000000"/>
                <w:sz w:val="20"/>
                <w:szCs w:val="20"/>
                <w:lang w:eastAsia="pt-BR"/>
              </w:rPr>
              <w:t>06 - Atend. Diligências CGU e TCU</w:t>
            </w:r>
          </w:p>
        </w:tc>
        <w:tc>
          <w:tcPr>
            <w:tcW w:w="1274"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beforeAutospacing="1" w:after="119"/>
              <w:jc w:val="center"/>
              <w:rPr>
                <w:rFonts w:eastAsia="Times New Roman"/>
                <w:i/>
                <w:i/>
                <w:sz w:val="20"/>
                <w:szCs w:val="20"/>
                <w:lang w:eastAsia="pt-BR"/>
              </w:rPr>
            </w:pPr>
            <w:r>
              <w:rPr>
                <w:rFonts w:eastAsia="Times New Roman"/>
                <w:i/>
                <w:color w:val="000000"/>
                <w:sz w:val="20"/>
                <w:szCs w:val="20"/>
                <w:lang w:eastAsia="pt-BR"/>
              </w:rPr>
              <w:t>168</w:t>
            </w:r>
          </w:p>
        </w:tc>
        <w:tc>
          <w:tcPr>
            <w:tcW w:w="1276"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beforeAutospacing="1" w:after="119"/>
              <w:jc w:val="center"/>
              <w:rPr>
                <w:rFonts w:eastAsia="Times New Roman"/>
                <w:i/>
                <w:i/>
                <w:sz w:val="20"/>
                <w:szCs w:val="20"/>
                <w:lang w:eastAsia="pt-BR"/>
              </w:rPr>
            </w:pPr>
            <w:r>
              <w:rPr>
                <w:rFonts w:eastAsia="Times New Roman"/>
                <w:i/>
                <w:color w:val="000000"/>
                <w:sz w:val="20"/>
                <w:szCs w:val="20"/>
                <w:lang w:eastAsia="pt-BR"/>
              </w:rPr>
              <w:t>248</w:t>
            </w:r>
          </w:p>
        </w:tc>
        <w:tc>
          <w:tcPr>
            <w:tcW w:w="993"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beforeAutospacing="1" w:after="119"/>
              <w:jc w:val="center"/>
              <w:rPr>
                <w:rFonts w:eastAsia="Times New Roman"/>
                <w:i/>
                <w:i/>
                <w:sz w:val="20"/>
                <w:szCs w:val="20"/>
                <w:lang w:eastAsia="pt-BR"/>
              </w:rPr>
            </w:pPr>
            <w:r>
              <w:rPr>
                <w:rFonts w:eastAsia="Times New Roman"/>
                <w:i/>
                <w:color w:val="000000"/>
                <w:sz w:val="20"/>
                <w:szCs w:val="20"/>
                <w:lang w:eastAsia="pt-BR"/>
              </w:rPr>
              <w:t>80</w:t>
            </w:r>
          </w:p>
        </w:tc>
        <w:tc>
          <w:tcPr>
            <w:tcW w:w="1276"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beforeAutospacing="1" w:after="119"/>
              <w:jc w:val="center"/>
              <w:rPr>
                <w:rFonts w:eastAsia="Times New Roman"/>
                <w:i/>
                <w:i/>
                <w:sz w:val="20"/>
                <w:szCs w:val="20"/>
                <w:lang w:eastAsia="pt-BR"/>
              </w:rPr>
            </w:pPr>
            <w:r>
              <w:rPr>
                <w:rFonts w:eastAsia="Times New Roman"/>
                <w:i/>
                <w:color w:val="000000"/>
                <w:sz w:val="20"/>
                <w:szCs w:val="20"/>
                <w:lang w:eastAsia="pt-BR"/>
              </w:rPr>
              <w:t>356</w:t>
            </w:r>
          </w:p>
        </w:tc>
        <w:tc>
          <w:tcPr>
            <w:tcW w:w="1133"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beforeAutospacing="1" w:after="119"/>
              <w:jc w:val="center"/>
              <w:rPr>
                <w:rFonts w:eastAsia="Times New Roman"/>
                <w:i/>
                <w:i/>
                <w:sz w:val="20"/>
                <w:szCs w:val="20"/>
                <w:lang w:eastAsia="pt-BR"/>
              </w:rPr>
            </w:pPr>
            <w:r>
              <w:rPr>
                <w:rFonts w:eastAsia="Times New Roman"/>
                <w:i/>
                <w:sz w:val="20"/>
                <w:szCs w:val="20"/>
                <w:lang w:eastAsia="pt-BR"/>
              </w:rPr>
              <w:t>192</w:t>
            </w:r>
          </w:p>
        </w:tc>
        <w:tc>
          <w:tcPr>
            <w:tcW w:w="567" w:type="dxa"/>
            <w:tcBorders>
              <w:bottom w:val="single" w:sz="6" w:space="0" w:color="00000A"/>
              <w:right w:val="single" w:sz="6" w:space="0" w:color="00000A"/>
              <w:insideH w:val="single" w:sz="6" w:space="0" w:color="00000A"/>
              <w:insideV w:val="single" w:sz="6" w:space="0" w:color="00000A"/>
            </w:tcBorders>
            <w:shd w:color="auto" w:fill="FFFFFF" w:val="clear"/>
            <w:tcMar>
              <w:left w:w="0" w:type="dxa"/>
            </w:tcMar>
            <w:vAlign w:val="bottom"/>
          </w:tcPr>
          <w:p>
            <w:pPr>
              <w:pStyle w:val="Normal"/>
              <w:spacing w:beforeAutospacing="1" w:after="119"/>
              <w:jc w:val="center"/>
              <w:rPr>
                <w:rFonts w:eastAsia="Times New Roman"/>
                <w:i/>
                <w:i/>
                <w:sz w:val="20"/>
                <w:szCs w:val="20"/>
                <w:lang w:eastAsia="pt-BR"/>
              </w:rPr>
            </w:pPr>
            <w:r>
              <w:rPr>
                <w:rFonts w:eastAsia="Times New Roman"/>
                <w:bCs/>
                <w:i/>
                <w:color w:val="000000"/>
                <w:sz w:val="20"/>
                <w:szCs w:val="20"/>
                <w:lang w:eastAsia="pt-BR"/>
              </w:rPr>
              <w:t>1044</w:t>
            </w:r>
          </w:p>
        </w:tc>
      </w:tr>
    </w:tbl>
    <w:p>
      <w:pPr>
        <w:pStyle w:val="Normal"/>
        <w:spacing w:beforeAutospacing="1" w:after="200"/>
        <w:jc w:val="both"/>
        <w:rPr>
          <w:rFonts w:eastAsia="Times New Roman"/>
          <w:i/>
          <w:i/>
          <w:lang w:eastAsia="pt-BR"/>
        </w:rPr>
      </w:pPr>
      <w:r>
        <w:rPr>
          <w:rFonts w:eastAsia="Times New Roman"/>
          <w:i/>
          <w:lang w:eastAsia="pt-BR"/>
        </w:rPr>
        <w:t>Já foi aberto internamente processo administrativo para aquisição de 08 licenças de software compatíveis e adequados para unidade de auditoria interna.</w:t>
      </w:r>
    </w:p>
    <w:p>
      <w:pPr>
        <w:pStyle w:val="Normal"/>
        <w:spacing w:beforeAutospacing="1" w:after="200"/>
        <w:jc w:val="both"/>
        <w:rPr>
          <w:rFonts w:eastAsia="Times New Roman"/>
          <w:i/>
          <w:i/>
          <w:lang w:eastAsia="pt-BR"/>
        </w:rPr>
      </w:pPr>
      <w:r>
        <w:rPr>
          <w:rFonts w:eastAsia="Times New Roman"/>
          <w:i/>
          <w:lang w:eastAsia="pt-BR"/>
        </w:rPr>
        <w:t>Em relação à atividade n. 03/2015 do PAINT/2015, informamos que houve aumento nas horas devido a escolha da UFRPE pelo TCU para apresentar o processo de contas do exercício de 2014. Ademais, o corpo Técnico da AUDIN revisou todas as informações contidas no Relatório de Gestão/2014, solicitando aos gestores informações adicionais para compor o Relatório de Gestão do exercício de 2014.</w:t>
      </w:r>
    </w:p>
    <w:p>
      <w:pPr>
        <w:pStyle w:val="Normal"/>
        <w:spacing w:beforeAutospacing="1" w:after="200"/>
        <w:jc w:val="both"/>
        <w:rPr>
          <w:rFonts w:eastAsia="Times New Roman"/>
          <w:i/>
          <w:i/>
          <w:lang w:eastAsia="pt-BR"/>
        </w:rPr>
      </w:pPr>
      <w:r>
        <w:rPr>
          <w:rFonts w:eastAsia="Times New Roman"/>
          <w:i/>
          <w:lang w:eastAsia="pt-BR"/>
        </w:rPr>
        <w:t>Em relação à atividade n. 09/2015 do PAINT/2015, comunicamos que a AUDIN/UFRPE não possui servidor que desempenhe exclusivamente atividades administrativas, sendo fracionada a atividade para cada membro da equipe no que lhe couber. Caso à AUDIN mantivesse um servidor para desempenhar atividades administrativas, estaria previsto uma média de 1860 horas/ano. Portanto, a quantidade de 794 horas é muito baixo em relação à disponibilização exclusiva de 01(um) servidor para a AUDIN, sob a ótica do custo x benefício.</w:t>
      </w:r>
    </w:p>
    <w:p>
      <w:pPr>
        <w:pStyle w:val="Normal"/>
        <w:spacing w:beforeAutospacing="1" w:after="200"/>
        <w:jc w:val="both"/>
        <w:rPr>
          <w:rFonts w:eastAsia="Times New Roman"/>
          <w:lang w:eastAsia="pt-BR"/>
        </w:rPr>
      </w:pPr>
      <w:r>
        <w:rPr>
          <w:rFonts w:eastAsia="Times New Roman"/>
          <w:i/>
          <w:lang w:eastAsia="pt-BR"/>
        </w:rPr>
        <w:t>Em relação à atividade n. 11/2015 do PAINT/2015, esclarecemos que foi inserida de forma inédita à avalização de risco dos achados de auditoria nos Relatórios de Auditoria, conforme se verifica no RA n. 01/2015, objetivando ao gestor a visualização do impacto x probabilidade de ocorrer o evento possivelmente negativo para a UFRPE.</w:t>
      </w:r>
      <w:r>
        <w:rPr>
          <w:rFonts w:eastAsia="Times New Roman"/>
          <w:lang w:eastAsia="pt-BR"/>
        </w:rPr>
        <w:t>”</w:t>
      </w:r>
      <w:r>
        <w:rPr>
          <w:rFonts w:eastAsia="Times New Roman"/>
          <w:i/>
          <w:lang w:eastAsia="pt-BR"/>
        </w:rPr>
        <w:t xml:space="preserve"> </w:t>
      </w:r>
    </w:p>
    <w:p>
      <w:pPr>
        <w:pStyle w:val="Normal"/>
        <w:spacing w:beforeAutospacing="1" w:after="200"/>
        <w:jc w:val="both"/>
        <w:rPr>
          <w:rFonts w:eastAsia="Times New Roman"/>
          <w:lang w:eastAsia="pt-BR"/>
        </w:rPr>
      </w:pPr>
      <w:r>
        <w:rPr>
          <w:rFonts w:eastAsia="Times New Roman"/>
          <w:lang w:eastAsia="pt-BR"/>
        </w:rPr>
        <w:t xml:space="preserve">Quanto ao detalhamento das atividades </w:t>
      </w:r>
      <w:r>
        <w:rPr>
          <w:color w:val="000000"/>
        </w:rPr>
        <w:t>realizadas em cada uma das ações, o Auditor Titular informou que:</w:t>
      </w:r>
    </w:p>
    <w:p>
      <w:pPr>
        <w:pStyle w:val="Normal"/>
        <w:spacing w:beforeAutospacing="1" w:after="200"/>
        <w:jc w:val="both"/>
        <w:rPr>
          <w:rFonts w:eastAsia="Times New Roman"/>
          <w:i/>
          <w:i/>
          <w:lang w:eastAsia="pt-BR"/>
        </w:rPr>
      </w:pPr>
      <w:r>
        <w:rPr>
          <w:rFonts w:eastAsia="Times New Roman"/>
          <w:b/>
          <w:bCs/>
          <w:lang w:eastAsia="pt-BR"/>
        </w:rPr>
        <w:t>“</w:t>
      </w:r>
      <w:r>
        <w:rPr>
          <w:rFonts w:eastAsia="Times New Roman"/>
          <w:b/>
          <w:bCs/>
          <w:i/>
          <w:lang w:eastAsia="pt-BR"/>
        </w:rPr>
        <w:t>Atividade n.01/2015 -</w:t>
      </w:r>
      <w:r>
        <w:rPr>
          <w:rFonts w:eastAsia="Times New Roman"/>
          <w:i/>
          <w:lang w:eastAsia="pt-BR"/>
        </w:rPr>
        <w:t xml:space="preserve"> As atividades foram desempenhadas para atendimento da </w:t>
      </w:r>
      <w:r>
        <w:rPr>
          <w:rFonts w:eastAsia="Times New Roman"/>
          <w:i/>
          <w:color w:val="000000"/>
          <w:lang w:eastAsia="pt-BR"/>
        </w:rPr>
        <w:t xml:space="preserve">IN/CGU n° 1, de 03 de janeiro de 2007. </w:t>
      </w:r>
    </w:p>
    <w:p>
      <w:pPr>
        <w:pStyle w:val="Normal"/>
        <w:spacing w:beforeAutospacing="1" w:after="200"/>
        <w:jc w:val="both"/>
        <w:rPr>
          <w:rFonts w:eastAsia="Times New Roman"/>
          <w:i/>
          <w:i/>
          <w:lang w:eastAsia="pt-BR"/>
        </w:rPr>
      </w:pPr>
      <w:r>
        <w:rPr>
          <w:rFonts w:eastAsia="Times New Roman"/>
          <w:b/>
          <w:bCs/>
          <w:i/>
          <w:color w:val="000000"/>
          <w:lang w:eastAsia="pt-BR"/>
        </w:rPr>
        <w:t xml:space="preserve">Atividade n. 03/2015 - </w:t>
      </w:r>
      <w:r>
        <w:rPr>
          <w:rFonts w:eastAsia="Times New Roman"/>
          <w:i/>
          <w:color w:val="000000"/>
          <w:lang w:eastAsia="pt-BR"/>
        </w:rPr>
        <w:t>A AUDIN executa resumidamente o seguinte fluxo de atividades: 1- Envio de PPP e quadros para preenchimento quanto à implementação das recomendações e determinações da CGU e do TCU, respectivamente, juntamente com o relatório de auditoria e/ou acórdão; 2- palestra realizada pela</w:t>
      </w:r>
      <w:r>
        <w:rPr>
          <w:rFonts w:eastAsia="Times New Roman"/>
          <w:color w:val="000000"/>
          <w:lang w:eastAsia="pt-BR"/>
        </w:rPr>
        <w:t xml:space="preserve"> </w:t>
      </w:r>
      <w:r>
        <w:rPr>
          <w:rFonts w:eastAsia="Times New Roman"/>
          <w:i/>
          <w:color w:val="000000"/>
          <w:lang w:eastAsia="pt-BR"/>
        </w:rPr>
        <w:t xml:space="preserve">AUDIN, objetivando esclarecer aos setores da UFRPE a forma correta de preenchimento do Relatório de Gestão da UFRPE. 3 – Orientação aos setores quanto ao que está sendo solicitado, 4- recebimento das respostas com as informações requeridas; 5- revisão e tratamento das informações; 6- retorno dos quadros para complemento de informações; 6 – inserção nos controles da AUDIN, 7- inserção das informações apresentadas nos quadros próprios pertencentes ao Relatório de Gestão; 8- Envio das informações para a Pró-Reitoria de Planejamento para consolidação do Relatório de Gestão. </w:t>
      </w:r>
    </w:p>
    <w:p>
      <w:pPr>
        <w:pStyle w:val="Normal"/>
        <w:spacing w:beforeAutospacing="1" w:after="200"/>
        <w:jc w:val="both"/>
        <w:rPr>
          <w:rFonts w:eastAsia="Times New Roman"/>
          <w:i/>
          <w:i/>
          <w:lang w:eastAsia="pt-BR"/>
        </w:rPr>
      </w:pPr>
      <w:r>
        <w:rPr>
          <w:rFonts w:eastAsia="Times New Roman"/>
          <w:i/>
          <w:color w:val="000000"/>
          <w:lang w:eastAsia="pt-BR"/>
        </w:rPr>
        <w:t>Comunicamos que cerca de 2/3 do conteúdo dos Relatórios de Gestão da UFRPE têm sido composto de dados, que direta ou indiretamente a AUDIN tem atuado e providenciado as informações necessárias junto aos setores desta IFES. Ademais, a cada ano a AUDIN tem se envolvido no assessoramento das informações ali prestadas, tendo em vista a relevância desses relatórios para a Instituição, para os órgãos de controle e para a sociedade em geral.</w:t>
      </w:r>
    </w:p>
    <w:p>
      <w:pPr>
        <w:pStyle w:val="Normal"/>
        <w:spacing w:beforeAutospacing="1" w:after="200"/>
        <w:jc w:val="both"/>
        <w:rPr>
          <w:rFonts w:eastAsia="Times New Roman"/>
          <w:i/>
          <w:i/>
          <w:lang w:eastAsia="pt-BR"/>
        </w:rPr>
      </w:pPr>
      <w:r>
        <w:rPr>
          <w:rFonts w:eastAsia="Times New Roman"/>
          <w:b/>
          <w:bCs/>
          <w:i/>
          <w:color w:val="000000"/>
          <w:lang w:eastAsia="pt-BR"/>
        </w:rPr>
        <w:t xml:space="preserve">Atividade n. 09/2015 – </w:t>
      </w:r>
      <w:r>
        <w:rPr>
          <w:rFonts w:eastAsia="Times New Roman"/>
          <w:i/>
          <w:color w:val="000000"/>
          <w:lang w:eastAsia="pt-BR"/>
        </w:rPr>
        <w:t xml:space="preserve">detalhamos o seguinte: </w:t>
      </w:r>
      <w:r>
        <w:rPr>
          <w:rFonts w:eastAsia="Times New Roman"/>
          <w:i/>
          <w:lang w:eastAsia="pt-BR"/>
        </w:rPr>
        <w:t>alimentação dos controles adotados pela AUDIN ( Controle de horas, frequência, etc); arquivamento de documentos; contatos com setores – atendimento aos telefones; reprografia de documentos; participação de membros da AUDIN em reuniões e palestras; conferência dos bens móveis da carga dos bens registrados na Unidade de Auditoria Interna; leitura de Normativos e ementário de Gestão Pública; conversas informais entre os membros com o Auditor Titular, quanto as dúvidas surgidas no âmbito da execução de tarefas pela AUDIN; Dentre outras.</w:t>
      </w:r>
    </w:p>
    <w:p>
      <w:pPr>
        <w:pStyle w:val="Normal"/>
        <w:spacing w:beforeAutospacing="1" w:after="200"/>
        <w:jc w:val="both"/>
        <w:rPr>
          <w:rFonts w:eastAsia="Times New Roman"/>
          <w:i/>
          <w:i/>
          <w:lang w:eastAsia="pt-BR"/>
        </w:rPr>
      </w:pPr>
      <w:r>
        <w:rPr>
          <w:rFonts w:eastAsia="Times New Roman"/>
          <w:b/>
          <w:bCs/>
          <w:i/>
          <w:lang w:eastAsia="pt-BR"/>
        </w:rPr>
        <w:t xml:space="preserve">Atividade 11/2015 – </w:t>
      </w:r>
      <w:r>
        <w:rPr>
          <w:rFonts w:eastAsia="Times New Roman"/>
          <w:i/>
          <w:lang w:eastAsia="pt-BR"/>
        </w:rPr>
        <w:t>As atividades foram realizadas conforme registro em Papéis de trabalho de Auditoria apresentado à CGU.”</w:t>
      </w:r>
    </w:p>
    <w:p>
      <w:pPr>
        <w:pStyle w:val="Normal"/>
        <w:spacing w:beforeAutospacing="1" w:after="200"/>
        <w:rPr>
          <w:rFonts w:eastAsia="Times New Roman"/>
          <w:lang w:eastAsia="pt-BR"/>
        </w:rPr>
      </w:pPr>
      <w:r>
        <w:rPr>
          <w:rFonts w:eastAsia="Times New Roman"/>
          <w:lang w:eastAsia="pt-BR"/>
        </w:rPr>
        <w:t>Em relação ao preenchimento da tabela, o Auditor Titular informou que:</w:t>
      </w:r>
    </w:p>
    <w:p>
      <w:pPr>
        <w:pStyle w:val="Normal"/>
        <w:spacing w:beforeAutospacing="1" w:after="200"/>
        <w:rPr>
          <w:rFonts w:eastAsia="Times New Roman"/>
          <w:i/>
          <w:i/>
          <w:lang w:eastAsia="pt-BR"/>
        </w:rPr>
      </w:pPr>
      <w:r>
        <w:rPr>
          <w:rFonts w:eastAsia="Times New Roman"/>
          <w:b/>
          <w:bCs/>
          <w:i/>
          <w:lang w:eastAsia="pt-BR"/>
        </w:rPr>
        <w:t>“</w:t>
      </w:r>
      <w:r>
        <w:rPr>
          <w:rFonts w:eastAsia="Times New Roman"/>
          <w:i/>
          <w:lang w:eastAsia="pt-BR"/>
        </w:rPr>
        <w:t xml:space="preserve">...esclarecemos que o controle de horas é realizado, porém até o presente momento não se fez necessário o preenchimento detalhado das atividades, tendo em vista que o objetivo principal do controle é registrar a relação Homem/Hora das atividades de auditoria executadas , conforme as boas praticas de auditoria. </w:t>
      </w:r>
    </w:p>
    <w:p>
      <w:pPr>
        <w:pStyle w:val="Normal"/>
        <w:spacing w:beforeAutospacing="1" w:after="200"/>
        <w:rPr>
          <w:rFonts w:ascii="Liberation Serif" w:hAnsi="Liberation Serif" w:eastAsia="Times New Roman"/>
          <w:i/>
          <w:i/>
          <w:color w:val="000000"/>
        </w:rPr>
      </w:pPr>
      <w:r>
        <w:rPr>
          <w:rFonts w:eastAsia="Times New Roman"/>
          <w:i/>
          <w:lang w:eastAsia="pt-BR"/>
        </w:rPr>
        <w:t xml:space="preserve">Os membros da AUDIN/UFRPE são alertados sempre em seus trabalhos que o excesso de controle em confronto aos objetivos ao qual foi criado, podem ser prejudiciais a AUDIN e a própria UFRPE.” </w:t>
      </w:r>
    </w:p>
    <w:p>
      <w:pPr>
        <w:pStyle w:val="Normal"/>
        <w:spacing w:lineRule="auto" w:line="240" w:beforeAutospacing="1" w:afterAutospacing="1"/>
        <w:contextualSpacing/>
        <w:jc w:val="both"/>
        <w:rPr/>
      </w:pPr>
      <w:r>
        <w:rPr/>
        <w:t xml:space="preserve"> </w:t>
      </w:r>
    </w:p>
    <w:p>
      <w:pPr>
        <w:pStyle w:val="Normal"/>
        <w:spacing w:lineRule="auto" w:line="240" w:beforeAutospacing="1" w:afterAutospacing="1"/>
        <w:contextualSpacing/>
        <w:jc w:val="both"/>
        <w:rPr>
          <w:color w:val="FFFFFF" w:themeColor="background1"/>
          <w:spacing w:val="0"/>
          <w:sz w:val="2"/>
          <w:szCs w:val="2"/>
        </w:rPr>
      </w:pPr>
      <w:r>
        <w:rPr>
          <w:color w:val="FFFFFF" w:themeColor="background1"/>
          <w:spacing w:val="0"/>
          <w:sz w:val="2"/>
          <w:szCs w:val="2"/>
        </w:rPr>
        <w:t>##/ManifestacaoUnidadeExaminada##</w:t>
      </w:r>
    </w:p>
    <w:p>
      <w:pPr>
        <w:pStyle w:val="Normal"/>
        <w:spacing w:lineRule="auto" w:line="240" w:before="0" w:after="0"/>
        <w:rPr>
          <w:rFonts w:ascii="Arial" w:hAnsi="Arial" w:cs="Arial"/>
          <w:b/>
          <w:b/>
        </w:rPr>
      </w:pPr>
      <w:r>
        <w:rPr>
          <w:b/>
        </w:rPr>
        <w:t>Análise do Controle Interno</w:t>
      </w:r>
    </w:p>
    <w:p>
      <w:pPr>
        <w:pStyle w:val="Normal"/>
        <w:spacing w:lineRule="auto" w:line="240" w:before="0" w:after="0"/>
        <w:rPr>
          <w:b/>
          <w:b/>
        </w:rPr>
      </w:pPr>
      <w:r>
        <w:rPr>
          <w:b/>
        </w:rPr>
      </w:r>
    </w:p>
    <w:p>
      <w:pPr>
        <w:pStyle w:val="Textbody"/>
        <w:jc w:val="both"/>
        <w:rPr>
          <w:rFonts w:cs="Times New Roman"/>
          <w:color w:val="000000"/>
        </w:rPr>
      </w:pPr>
      <w:r>
        <w:rPr>
          <w:rFonts w:cs="Times New Roman"/>
        </w:rPr>
        <w:t>Após a apresentação das justificativas apresentadas, a Atividade 01/2015: Elaboração do Relatório Anual de Atividades de Auditoria Interna – RAINT/2014 passou a totalizar 220 horas, com 20 horas excedente (20% do tempo programado para a atividade).</w:t>
      </w:r>
    </w:p>
    <w:p>
      <w:pPr>
        <w:pStyle w:val="Textbody"/>
        <w:jc w:val="both"/>
        <w:rPr>
          <w:rFonts w:cs="Times New Roman"/>
          <w:color w:val="000000"/>
        </w:rPr>
      </w:pPr>
      <w:r>
        <w:rPr>
          <w:rFonts w:cs="Times New Roman"/>
          <w:color w:val="000000"/>
        </w:rPr>
        <w:t xml:space="preserve">Apesar disso, observa-se que algumas atividades, como, por exemplo, a Atividade </w:t>
      </w:r>
      <w:r>
        <w:rPr>
          <w:rFonts w:cs="Times New Roman"/>
        </w:rPr>
        <w:t>09/2015: Atividades administrativas de apoio técnico e operacional da unidade de auditoria interna da UFRPE</w:t>
      </w:r>
      <w:r>
        <w:rPr>
          <w:rFonts w:cs="Times New Roman"/>
          <w:color w:val="000000"/>
        </w:rPr>
        <w:t>, concentram uma grande quantidade de horas da AUDIN, o que  prejudica a realização das demais. Portanto é necessário que a AUDIN procure racionalizar algumas atividades rotineira, de forma a reduzir as horas necessárias para realização de tais tarefas.</w:t>
      </w:r>
    </w:p>
    <w:p>
      <w:pPr>
        <w:pStyle w:val="Normal"/>
        <w:spacing w:lineRule="auto" w:line="240" w:beforeAutospacing="1" w:afterAutospacing="1"/>
        <w:contextualSpacing/>
        <w:jc w:val="both"/>
        <w:rPr/>
      </w:pPr>
      <w:r>
        <w:rPr>
          <w:color w:val="000000"/>
        </w:rPr>
        <w:t xml:space="preserve">Quanto ao tempo despendido para realização dos trabalhos de auditoria, observou-se a ausência de </w:t>
      </w:r>
      <w:r>
        <w:rPr>
          <w:lang w:eastAsia="pt-BR"/>
        </w:rPr>
        <w:t>critérios para limitação do escopo dos trabalhos (amplitude e profundidade), tenho sido avaliado o universo total, não tendo sido considerado as questões de materialidade, criticidade e relevância das áreas para a definição do escopo examinado.</w:t>
      </w:r>
      <w:r>
        <w:rPr/>
        <w:t xml:space="preserve"> </w:t>
      </w:r>
    </w:p>
    <w:p>
      <w:pPr>
        <w:pStyle w:val="Normal"/>
        <w:spacing w:lineRule="auto" w:line="240" w:beforeAutospacing="1" w:afterAutospacing="1"/>
        <w:contextualSpacing/>
        <w:jc w:val="both"/>
        <w:rPr>
          <w:color w:val="FFFFFF" w:themeColor="background1"/>
          <w:spacing w:val="0"/>
          <w:sz w:val="2"/>
          <w:szCs w:val="2"/>
        </w:rPr>
      </w:pPr>
      <w:r>
        <w:rPr>
          <w:color w:val="FFFFFF" w:themeColor="background1"/>
          <w:spacing w:val="0"/>
          <w:sz w:val="2"/>
          <w:szCs w:val="2"/>
        </w:rPr>
        <w:t>##/AnaliseControleInterno##</w:t>
      </w:r>
    </w:p>
    <w:p>
      <w:pPr>
        <w:pStyle w:val="Normal"/>
        <w:spacing w:lineRule="auto" w:line="240" w:before="0" w:after="0"/>
        <w:jc w:val="both"/>
        <w:rPr>
          <w:b/>
          <w:b/>
        </w:rPr>
      </w:pPr>
      <w:r>
        <w:rPr>
          <w:b/>
        </w:rPr>
        <w:t>Recomendações:</w:t>
      </w:r>
    </w:p>
    <w:p>
      <w:pPr>
        <w:pStyle w:val="Normal"/>
        <w:spacing w:lineRule="auto" w:line="240" w:before="0" w:after="0"/>
        <w:jc w:val="both"/>
        <w:rPr/>
      </w:pPr>
      <w:r>
        <w:rPr/>
        <w:t>Recomendação 1: Melhorar o planejamento das ações de controle da unidade de auditoria interna, de forma a otimizar e reduzir as horas utilizadas para realização das atividades previstas no Plano Anual de Auditoria Interna.</w:t>
      </w:r>
    </w:p>
    <w:p>
      <w:pPr>
        <w:pStyle w:val="Normal"/>
        <w:spacing w:lineRule="auto" w:line="240" w:before="0" w:after="0"/>
        <w:jc w:val="both"/>
        <w:rPr/>
      </w:pPr>
      <w:r>
        <w:rPr/>
      </w:r>
    </w:p>
    <w:p>
      <w:pPr>
        <w:pStyle w:val="Normal"/>
        <w:spacing w:lineRule="auto" w:line="240" w:before="0" w:after="0"/>
        <w:jc w:val="both"/>
        <w:rPr/>
      </w:pPr>
      <w:r>
        <w:rPr/>
        <w:t>Recomendação 2: Utilizar critérios para definição do escopo dos trabalhos, considerando para tanto a extensão (amplitude) e profundidade (grau de detalhamento), bem como verificando as questões de materialidade, criticidade e relevância das áreas e/ou dos processos selecionados para exame.</w:t>
      </w:r>
    </w:p>
    <w:p>
      <w:pPr>
        <w:pStyle w:val="Normal"/>
        <w:spacing w:lineRule="auto" w:line="240" w:before="0" w:after="0"/>
        <w:jc w:val="both"/>
        <w:rPr/>
      </w:pPr>
      <w:r>
        <w:rPr/>
      </w:r>
    </w:p>
    <w:p>
      <w:pPr>
        <w:pStyle w:val="Normal"/>
        <w:spacing w:lineRule="auto" w:line="240" w:before="0" w:after="0"/>
        <w:jc w:val="both"/>
        <w:rPr>
          <w:rFonts w:eastAsia="Times New Roman"/>
          <w:lang w:eastAsia="pt-BR"/>
        </w:rPr>
      </w:pPr>
      <w:r>
        <w:rPr>
          <w:rFonts w:eastAsia="Times New Roman"/>
          <w:lang w:eastAsia="pt-BR"/>
        </w:rPr>
      </w:r>
    </w:p>
    <w:p>
      <w:pPr>
        <w:pStyle w:val="Normal"/>
        <w:spacing w:lineRule="auto" w:line="240" w:before="0" w:after="0"/>
        <w:rPr>
          <w:rFonts w:ascii="Arial" w:hAnsi="Arial" w:cs="Arial"/>
          <w:b/>
          <w:b/>
        </w:rPr>
      </w:pPr>
      <w:r>
        <w:rPr>
          <w:b/>
        </w:rPr>
        <w:t>1.1.1.6</w:t>
      </w:r>
      <w:r>
        <w:rPr>
          <w:rFonts w:cs="Arial" w:ascii="Arial" w:hAnsi="Arial"/>
          <w:b/>
        </w:rPr>
        <w:t xml:space="preserve"> </w:t>
      </w:r>
      <w:r>
        <w:rPr>
          <w:b/>
        </w:rPr>
        <w:t>INFORMAÇÃO</w:t>
      </w:r>
    </w:p>
    <w:p>
      <w:pPr>
        <w:pStyle w:val="Normal"/>
        <w:spacing w:lineRule="auto" w:line="240" w:before="0" w:after="0"/>
        <w:rPr>
          <w:b/>
          <w:b/>
        </w:rPr>
      </w:pPr>
      <w:r>
        <w:rPr>
          <w:b/>
        </w:rPr>
      </w:r>
    </w:p>
    <w:p>
      <w:pPr>
        <w:pStyle w:val="Normal"/>
        <w:spacing w:lineRule="auto" w:line="240" w:before="0" w:after="0"/>
        <w:jc w:val="both"/>
        <w:rPr>
          <w:b/>
          <w:b/>
        </w:rPr>
      </w:pPr>
      <w:r>
        <w:rPr>
          <w:b/>
        </w:rPr>
        <w:t>Informação acerca da execução das ações de capacitação prevista no PAINT/2015.</w:t>
      </w:r>
    </w:p>
    <w:p>
      <w:pPr>
        <w:pStyle w:val="Normal"/>
        <w:spacing w:lineRule="auto" w:line="240" w:before="0" w:after="0"/>
        <w:rPr/>
      </w:pPr>
      <w:r>
        <w:rPr/>
      </w:r>
    </w:p>
    <w:p>
      <w:pPr>
        <w:pStyle w:val="Normal"/>
        <w:spacing w:lineRule="auto" w:line="240" w:before="0" w:after="0"/>
        <w:rPr>
          <w:rFonts w:ascii="Arial" w:hAnsi="Arial" w:cs="Arial"/>
          <w:b/>
          <w:b/>
        </w:rPr>
      </w:pPr>
      <w:r>
        <w:rPr>
          <w:b/>
        </w:rPr>
        <w:t>Fato</w:t>
      </w:r>
    </w:p>
    <w:p>
      <w:pPr>
        <w:pStyle w:val="Normal"/>
        <w:spacing w:lineRule="auto" w:line="240" w:before="0" w:after="0"/>
        <w:rPr>
          <w:b/>
          <w:b/>
        </w:rPr>
      </w:pPr>
      <w:r>
        <w:rPr>
          <w:b/>
        </w:rPr>
      </w:r>
    </w:p>
    <w:p>
      <w:pPr>
        <w:pStyle w:val="Standard"/>
        <w:jc w:val="both"/>
        <w:rPr>
          <w:rFonts w:cs="Times New Roman"/>
        </w:rPr>
      </w:pPr>
      <w:r>
        <w:rPr>
          <w:rFonts w:cs="Times New Roman"/>
        </w:rPr>
        <w:t>Realizou-se a análise comparativa das ações de capacitação previstas no Plano Anual de Auditoria Interna – PAINT  do exercício de 2015 e as capacitações realizadas pelos servidores da  Unidade de Auditoria Interna - AUDIN da Universidade Federal Rural de Pernambuco – UFRPE, informadas por meio do Ofício nº 13/2015 – AUDIN, de 16 de outubro de 2015, tendo sido verificado o atraso e o descumprimento do PAINT/2015, conforme detalhado a seguir:</w:t>
      </w:r>
    </w:p>
    <w:p>
      <w:pPr>
        <w:pStyle w:val="Standard"/>
        <w:jc w:val="both"/>
        <w:rPr>
          <w:rFonts w:cs="Times New Roman"/>
        </w:rPr>
      </w:pPr>
      <w:r>
        <w:rPr>
          <w:rFonts w:cs="Times New Roman"/>
        </w:rPr>
      </w:r>
    </w:p>
    <w:p>
      <w:pPr>
        <w:pStyle w:val="Standard"/>
        <w:jc w:val="both"/>
        <w:rPr>
          <w:rFonts w:cs="Times New Roman"/>
        </w:rPr>
      </w:pPr>
      <w:r>
        <w:rPr>
          <w:rFonts w:cs="Times New Roman"/>
        </w:rPr>
        <w:t>a) Capacitações realizadas ou as que ainda serão realizadas no exercício de 2015</w:t>
      </w:r>
    </w:p>
    <w:p>
      <w:pPr>
        <w:pStyle w:val="Standard"/>
        <w:jc w:val="both"/>
        <w:rPr>
          <w:rFonts w:cs="Times New Roman"/>
        </w:rPr>
      </w:pPr>
      <w:r>
        <w:rPr>
          <w:rFonts w:cs="Times New Roman"/>
        </w:rPr>
      </w:r>
    </w:p>
    <w:tbl>
      <w:tblPr>
        <w:tblW w:w="8657" w:type="dxa"/>
        <w:jc w:val="left"/>
        <w:tblInd w:w="186" w:type="dxa"/>
        <w:tblBorders>
          <w:top w:val="single" w:sz="4" w:space="0" w:color="000001"/>
          <w:left w:val="single" w:sz="4" w:space="0" w:color="000001"/>
          <w:bottom w:val="single" w:sz="4" w:space="0" w:color="000001"/>
          <w:insideH w:val="single" w:sz="4" w:space="0" w:color="000001"/>
        </w:tblBorders>
        <w:tblCellMar>
          <w:top w:w="0" w:type="dxa"/>
          <w:left w:w="98" w:type="dxa"/>
          <w:bottom w:w="0" w:type="dxa"/>
          <w:right w:w="108" w:type="dxa"/>
        </w:tblCellMar>
        <w:tblLook w:noVBand="0" w:val="0000" w:noHBand="0" w:lastColumn="0" w:firstColumn="0" w:lastRow="0" w:firstRow="0"/>
      </w:tblPr>
      <w:tblGrid>
        <w:gridCol w:w="2844"/>
        <w:gridCol w:w="1418"/>
        <w:gridCol w:w="1843"/>
        <w:gridCol w:w="2551"/>
      </w:tblGrid>
      <w:tr>
        <w:trPr>
          <w:trHeight w:val="1369" w:hRule="atLeast"/>
        </w:trPr>
        <w:tc>
          <w:tcPr>
            <w:tcW w:w="2844"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center"/>
              <w:rPr>
                <w:rFonts w:eastAsia="Times New Roman" w:cs="Times New Roman"/>
                <w:b/>
                <w:b/>
                <w:sz w:val="20"/>
                <w:szCs w:val="20"/>
              </w:rPr>
            </w:pPr>
            <w:r>
              <w:rPr>
                <w:rFonts w:eastAsia="Times New Roman" w:cs="Times New Roman"/>
                <w:b/>
                <w:sz w:val="20"/>
                <w:szCs w:val="20"/>
              </w:rPr>
              <w:t>CAPACITAÇÃO / SERVIDORES ( 2014 )</w:t>
            </w:r>
          </w:p>
        </w:tc>
        <w:tc>
          <w:tcPr>
            <w:tcW w:w="1418"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center"/>
              <w:rPr>
                <w:rFonts w:eastAsia="Times New Roman" w:cs="Times New Roman"/>
                <w:b/>
                <w:b/>
                <w:sz w:val="20"/>
                <w:szCs w:val="20"/>
              </w:rPr>
            </w:pPr>
            <w:r>
              <w:rPr>
                <w:rFonts w:eastAsia="Times New Roman" w:cs="Times New Roman"/>
                <w:b/>
                <w:sz w:val="20"/>
                <w:szCs w:val="20"/>
              </w:rPr>
              <w:t>CARGA HORÁRIA</w:t>
            </w:r>
          </w:p>
        </w:tc>
        <w:tc>
          <w:tcPr>
            <w:tcW w:w="1843"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center"/>
              <w:rPr>
                <w:rFonts w:eastAsia="Times New Roman" w:cs="Times New Roman"/>
                <w:b/>
                <w:b/>
                <w:sz w:val="20"/>
                <w:szCs w:val="20"/>
              </w:rPr>
            </w:pPr>
            <w:r>
              <w:rPr>
                <w:rFonts w:eastAsia="Times New Roman" w:cs="Times New Roman"/>
                <w:b/>
                <w:sz w:val="20"/>
                <w:szCs w:val="20"/>
              </w:rPr>
              <w:t>SERVIDORES</w:t>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98" w:type="dxa"/>
            </w:tcMar>
            <w:vAlign w:val="center"/>
          </w:tcPr>
          <w:p>
            <w:pPr>
              <w:pStyle w:val="Contedodatabela"/>
              <w:spacing w:lineRule="atLeast" w:line="100"/>
              <w:jc w:val="both"/>
              <w:rPr>
                <w:rFonts w:eastAsia="Times New Roman" w:cs="Times New Roman"/>
                <w:b/>
                <w:b/>
                <w:bCs/>
                <w:sz w:val="20"/>
                <w:szCs w:val="20"/>
              </w:rPr>
            </w:pPr>
            <w:r>
              <w:rPr>
                <w:rFonts w:eastAsia="Times New Roman" w:cs="Times New Roman"/>
                <w:b/>
                <w:bCs/>
                <w:sz w:val="20"/>
                <w:szCs w:val="20"/>
              </w:rPr>
              <w:t>SITUAÇÃO DE REALIZAÇÃO</w:t>
            </w:r>
          </w:p>
        </w:tc>
      </w:tr>
      <w:tr>
        <w:trPr>
          <w:trHeight w:val="23" w:hRule="atLeast"/>
        </w:trPr>
        <w:tc>
          <w:tcPr>
            <w:tcW w:w="2844"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Formação de Auditores Internos I.</w:t>
            </w:r>
          </w:p>
        </w:tc>
        <w:tc>
          <w:tcPr>
            <w:tcW w:w="1418"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40 Horas</w:t>
            </w:r>
          </w:p>
        </w:tc>
        <w:tc>
          <w:tcPr>
            <w:tcW w:w="1843"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Antônio Cândido de Souza Júnior.</w:t>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98" w:type="dxa"/>
            </w:tcMar>
            <w:vAlign w:val="center"/>
          </w:tcPr>
          <w:p>
            <w:pPr>
              <w:pStyle w:val="Standard"/>
              <w:spacing w:lineRule="atLeast" w:line="100"/>
              <w:jc w:val="center"/>
              <w:rPr>
                <w:rFonts w:eastAsia="Times New Roman" w:cs="Times New Roman"/>
                <w:sz w:val="20"/>
                <w:szCs w:val="20"/>
              </w:rPr>
            </w:pPr>
            <w:r>
              <w:rPr>
                <w:rFonts w:eastAsia="Times New Roman" w:cs="Times New Roman"/>
                <w:sz w:val="20"/>
                <w:szCs w:val="20"/>
              </w:rPr>
              <w:t>Servidor capacitado, conforme certificado em anexo.</w:t>
            </w:r>
          </w:p>
        </w:tc>
      </w:tr>
      <w:tr>
        <w:trPr>
          <w:trHeight w:val="23" w:hRule="atLeast"/>
        </w:trPr>
        <w:tc>
          <w:tcPr>
            <w:tcW w:w="2844"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XLIII - Fórum Nacional dos Auditores Internos das Instituições vinculadas ao MEC (FONAI/MEC).</w:t>
            </w:r>
          </w:p>
        </w:tc>
        <w:tc>
          <w:tcPr>
            <w:tcW w:w="1418"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40 Horas.</w:t>
            </w:r>
          </w:p>
        </w:tc>
        <w:tc>
          <w:tcPr>
            <w:tcW w:w="1843"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Jane Nóbrega Farina.</w:t>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Servidora capacitada, conforme certificado em anexo.</w:t>
            </w:r>
          </w:p>
        </w:tc>
      </w:tr>
      <w:tr>
        <w:trPr>
          <w:trHeight w:val="598" w:hRule="atLeast"/>
        </w:trPr>
        <w:tc>
          <w:tcPr>
            <w:tcW w:w="2844"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Auditoria em Folha de Pagamento.</w:t>
            </w:r>
          </w:p>
        </w:tc>
        <w:tc>
          <w:tcPr>
            <w:tcW w:w="1418"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40 Horas.</w:t>
            </w:r>
          </w:p>
        </w:tc>
        <w:tc>
          <w:tcPr>
            <w:tcW w:w="1843"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Juliana Siqueira Sercundes.</w:t>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Servidora capacitada, conforme certificado em anexo.</w:t>
            </w:r>
          </w:p>
        </w:tc>
      </w:tr>
      <w:tr>
        <w:trPr>
          <w:trHeight w:val="837" w:hRule="atLeast"/>
        </w:trPr>
        <w:tc>
          <w:tcPr>
            <w:tcW w:w="2844"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Formação de Auditores Internos I.</w:t>
            </w:r>
          </w:p>
        </w:tc>
        <w:tc>
          <w:tcPr>
            <w:tcW w:w="1418"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40 Horas.</w:t>
            </w:r>
          </w:p>
        </w:tc>
        <w:tc>
          <w:tcPr>
            <w:tcW w:w="1843"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Juliana Siqueira Sercundes.</w:t>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Servidora capacitada, conforme certificado em anexo.</w:t>
            </w:r>
          </w:p>
        </w:tc>
      </w:tr>
      <w:tr>
        <w:trPr>
          <w:trHeight w:val="23" w:hRule="atLeast"/>
        </w:trPr>
        <w:tc>
          <w:tcPr>
            <w:tcW w:w="2844"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XLII - Fórum Nacional dos Auditores Internos das Instituições vinculadas ao MEC (FONAI/MEC).</w:t>
            </w:r>
          </w:p>
        </w:tc>
        <w:tc>
          <w:tcPr>
            <w:tcW w:w="1418"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40 Horas</w:t>
            </w:r>
          </w:p>
        </w:tc>
        <w:tc>
          <w:tcPr>
            <w:tcW w:w="1843"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Antônio Cândido de Souza Júnior.</w:t>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O evento será realizado no período de 23/11/2015 a 27/11/2015. Está prevista a participação do servidor.</w:t>
            </w:r>
          </w:p>
        </w:tc>
      </w:tr>
      <w:tr>
        <w:trPr>
          <w:trHeight w:val="23" w:hRule="atLeast"/>
        </w:trPr>
        <w:tc>
          <w:tcPr>
            <w:tcW w:w="2844"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Auditoria de Fraudes.</w:t>
            </w:r>
          </w:p>
        </w:tc>
        <w:tc>
          <w:tcPr>
            <w:tcW w:w="1418"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40 Horas</w:t>
            </w:r>
          </w:p>
        </w:tc>
        <w:tc>
          <w:tcPr>
            <w:tcW w:w="1843"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Clayton de Mendonça Julião.</w:t>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Falta confirmação da realização do curso pelo Instituto dos Auditores Internos do Brasil, a ser realizado no período de  02 a 04/12/15. A UFRPE emitiu Nota de Empenho, aguardando confirmação do curso para emissão de passagens e diárias.</w:t>
            </w:r>
          </w:p>
        </w:tc>
      </w:tr>
      <w:tr>
        <w:trPr>
          <w:trHeight w:val="23" w:hRule="atLeast"/>
        </w:trPr>
        <w:tc>
          <w:tcPr>
            <w:tcW w:w="2844"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Formação de Auditores Internos I.</w:t>
            </w:r>
          </w:p>
        </w:tc>
        <w:tc>
          <w:tcPr>
            <w:tcW w:w="1418"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40 Horas.</w:t>
            </w:r>
          </w:p>
        </w:tc>
        <w:tc>
          <w:tcPr>
            <w:tcW w:w="1843"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Clayton de Mendonça Julião.</w:t>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98" w:type="dxa"/>
            </w:tcMar>
            <w:vAlign w:val="center"/>
          </w:tcPr>
          <w:p>
            <w:pPr>
              <w:pStyle w:val="Standard"/>
              <w:spacing w:lineRule="atLeast" w:line="100" w:before="0" w:after="240"/>
              <w:jc w:val="both"/>
              <w:rPr>
                <w:rFonts w:eastAsia="Times New Roman" w:cs="Times New Roman"/>
                <w:sz w:val="20"/>
                <w:szCs w:val="20"/>
              </w:rPr>
            </w:pPr>
            <w:r>
              <w:rPr>
                <w:rFonts w:eastAsia="Times New Roman" w:cs="Times New Roman"/>
                <w:sz w:val="20"/>
                <w:szCs w:val="20"/>
              </w:rPr>
              <w:t>Confirmada a participação do servidor pelo Instituto dos Auditores Internos do Brasil para o período de 26 a 29/10/15.</w:t>
            </w:r>
          </w:p>
        </w:tc>
      </w:tr>
      <w:tr>
        <w:trPr>
          <w:trHeight w:val="23" w:hRule="atLeast"/>
        </w:trPr>
        <w:tc>
          <w:tcPr>
            <w:tcW w:w="2844"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XLII - Fórum Nacional dos Auditores Internos das Instituições vinculadas ao MEC (FONAI/MEC).</w:t>
            </w:r>
          </w:p>
        </w:tc>
        <w:tc>
          <w:tcPr>
            <w:tcW w:w="1418"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40 Horas.</w:t>
            </w:r>
          </w:p>
        </w:tc>
        <w:tc>
          <w:tcPr>
            <w:tcW w:w="1843"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Rosane Bezerra de Magalhães.</w:t>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O evento será realizado no período de 23/11/2015 a 27/11/2015. Está previsto a participação da servidora.</w:t>
            </w:r>
          </w:p>
        </w:tc>
      </w:tr>
      <w:tr>
        <w:trPr>
          <w:trHeight w:val="23" w:hRule="atLeast"/>
        </w:trPr>
        <w:tc>
          <w:tcPr>
            <w:tcW w:w="2844"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b/>
                <w:b/>
                <w:sz w:val="20"/>
                <w:szCs w:val="20"/>
              </w:rPr>
            </w:pPr>
            <w:r>
              <w:rPr>
                <w:rFonts w:eastAsia="Times New Roman" w:cs="Times New Roman"/>
                <w:b/>
                <w:sz w:val="20"/>
                <w:szCs w:val="20"/>
              </w:rPr>
              <w:t>Carga horária utilizada para realização de capacitações previstas no PAINT/2015</w:t>
            </w:r>
          </w:p>
        </w:tc>
        <w:tc>
          <w:tcPr>
            <w:tcW w:w="1418"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b/>
                <w:b/>
                <w:sz w:val="20"/>
                <w:szCs w:val="20"/>
              </w:rPr>
            </w:pPr>
            <w:r>
              <w:rPr>
                <w:rFonts w:eastAsia="Times New Roman" w:cs="Times New Roman"/>
                <w:b/>
                <w:sz w:val="20"/>
                <w:szCs w:val="20"/>
              </w:rPr>
              <w:t>320 Horas</w:t>
            </w:r>
          </w:p>
        </w:tc>
        <w:tc>
          <w:tcPr>
            <w:tcW w:w="1843"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b/>
                <w:b/>
                <w:sz w:val="20"/>
                <w:szCs w:val="20"/>
              </w:rPr>
            </w:pPr>
            <w:r>
              <w:rPr>
                <w:rFonts w:eastAsia="Times New Roman" w:cs="Times New Roman"/>
                <w:b/>
                <w:sz w:val="20"/>
                <w:szCs w:val="20"/>
              </w:rPr>
            </w:r>
          </w:p>
        </w:tc>
        <w:tc>
          <w:tcPr>
            <w:tcW w:w="25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b/>
                <w:b/>
                <w:sz w:val="20"/>
                <w:szCs w:val="20"/>
              </w:rPr>
            </w:pPr>
            <w:r>
              <w:rPr>
                <w:rFonts w:eastAsia="Times New Roman" w:cs="Times New Roman"/>
                <w:b/>
                <w:sz w:val="20"/>
                <w:szCs w:val="20"/>
              </w:rPr>
            </w:r>
          </w:p>
        </w:tc>
      </w:tr>
    </w:tbl>
    <w:p>
      <w:pPr>
        <w:pStyle w:val="Standard"/>
        <w:jc w:val="both"/>
        <w:rPr>
          <w:rFonts w:cs="Times New Roman"/>
          <w:b/>
          <w:b/>
          <w:bCs/>
        </w:rPr>
      </w:pPr>
      <w:r>
        <w:rPr>
          <w:rFonts w:cs="Times New Roman"/>
          <w:b/>
          <w:bCs/>
        </w:rPr>
      </w:r>
    </w:p>
    <w:p>
      <w:pPr>
        <w:pStyle w:val="Standard"/>
        <w:jc w:val="both"/>
        <w:rPr>
          <w:rFonts w:cs="Times New Roman"/>
          <w:bCs/>
        </w:rPr>
      </w:pPr>
      <w:r>
        <w:rPr>
          <w:rFonts w:cs="Times New Roman"/>
        </w:rPr>
        <w:t xml:space="preserve">b) Capacitações </w:t>
      </w:r>
      <w:r>
        <w:rPr>
          <w:rFonts w:cs="Times New Roman"/>
          <w:bCs/>
        </w:rPr>
        <w:t>não previstas no PAINT/2015 e realizadas pelos servidores:</w:t>
      </w:r>
    </w:p>
    <w:p>
      <w:pPr>
        <w:pStyle w:val="Standard"/>
        <w:jc w:val="both"/>
        <w:rPr>
          <w:rFonts w:cs="Times New Roman"/>
          <w:b/>
          <w:b/>
          <w:bCs/>
        </w:rPr>
      </w:pPr>
      <w:r>
        <w:rPr>
          <w:rFonts w:cs="Times New Roman"/>
          <w:b/>
          <w:bCs/>
        </w:rPr>
      </w:r>
    </w:p>
    <w:tbl>
      <w:tblPr>
        <w:tblW w:w="8612"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noVBand="1" w:val="04a0" w:noHBand="0" w:lastColumn="0" w:firstColumn="1" w:lastRow="0" w:firstRow="1"/>
      </w:tblPr>
      <w:tblGrid>
        <w:gridCol w:w="2441"/>
        <w:gridCol w:w="1470"/>
        <w:gridCol w:w="1681"/>
        <w:gridCol w:w="3019"/>
      </w:tblGrid>
      <w:tr>
        <w:trPr/>
        <w:tc>
          <w:tcPr>
            <w:tcW w:w="2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b/>
                <w:b/>
                <w:bCs/>
                <w:sz w:val="20"/>
                <w:szCs w:val="20"/>
              </w:rPr>
            </w:pPr>
            <w:r>
              <w:rPr>
                <w:rFonts w:eastAsia="Times New Roman" w:cs="Times New Roman"/>
                <w:b/>
                <w:sz w:val="20"/>
                <w:szCs w:val="20"/>
              </w:rPr>
              <w:t>CAPACITAÇÃO / SERVIDORES ( 2015 )</w:t>
            </w:r>
          </w:p>
        </w:tc>
        <w:tc>
          <w:tcPr>
            <w:tcW w:w="14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b/>
                <w:b/>
                <w:bCs/>
                <w:sz w:val="20"/>
                <w:szCs w:val="20"/>
              </w:rPr>
            </w:pPr>
            <w:r>
              <w:rPr>
                <w:rFonts w:eastAsia="Times New Roman" w:cs="Times New Roman"/>
                <w:b/>
                <w:sz w:val="20"/>
                <w:szCs w:val="20"/>
              </w:rPr>
              <w:t>CARGA HORÁRIA</w:t>
            </w:r>
          </w:p>
        </w:tc>
        <w:tc>
          <w:tcPr>
            <w:tcW w:w="16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b/>
                <w:b/>
                <w:bCs/>
                <w:sz w:val="20"/>
                <w:szCs w:val="20"/>
              </w:rPr>
            </w:pPr>
            <w:r>
              <w:rPr>
                <w:rFonts w:eastAsia="Times New Roman" w:cs="Times New Roman"/>
                <w:b/>
                <w:sz w:val="20"/>
                <w:szCs w:val="20"/>
              </w:rPr>
              <w:t>SERVIDORES</w:t>
            </w:r>
          </w:p>
        </w:tc>
        <w:tc>
          <w:tcPr>
            <w:tcW w:w="30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b/>
                <w:b/>
                <w:bCs/>
                <w:sz w:val="20"/>
                <w:szCs w:val="20"/>
              </w:rPr>
            </w:pPr>
            <w:r>
              <w:rPr>
                <w:rFonts w:eastAsia="Times New Roman" w:cs="Times New Roman"/>
                <w:b/>
                <w:bCs/>
                <w:sz w:val="20"/>
                <w:szCs w:val="20"/>
              </w:rPr>
              <w:t>SITUAÇÃO DE REALIZAÇÃO</w:t>
            </w:r>
          </w:p>
        </w:tc>
      </w:tr>
      <w:tr>
        <w:trPr/>
        <w:tc>
          <w:tcPr>
            <w:tcW w:w="2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b/>
                <w:b/>
                <w:bCs/>
                <w:sz w:val="20"/>
                <w:szCs w:val="20"/>
              </w:rPr>
            </w:pPr>
            <w:r>
              <w:rPr>
                <w:rFonts w:eastAsia="Times New Roman" w:cs="Times New Roman"/>
                <w:sz w:val="20"/>
                <w:szCs w:val="20"/>
              </w:rPr>
              <w:t>Encontro de Diretores Acadêmicos da UFRPE. Palestra; O gestor na Administração Pública. LOCAL: UFRPE.</w:t>
            </w:r>
          </w:p>
        </w:tc>
        <w:tc>
          <w:tcPr>
            <w:tcW w:w="14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b/>
                <w:b/>
                <w:bCs/>
                <w:sz w:val="20"/>
                <w:szCs w:val="20"/>
              </w:rPr>
            </w:pPr>
            <w:r>
              <w:rPr>
                <w:rFonts w:eastAsia="Times New Roman" w:cs="Times New Roman"/>
                <w:sz w:val="20"/>
                <w:szCs w:val="20"/>
              </w:rPr>
              <w:t>4 Horas.</w:t>
            </w:r>
          </w:p>
        </w:tc>
        <w:tc>
          <w:tcPr>
            <w:tcW w:w="16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b/>
                <w:b/>
                <w:bCs/>
                <w:sz w:val="20"/>
                <w:szCs w:val="20"/>
              </w:rPr>
            </w:pPr>
            <w:r>
              <w:rPr>
                <w:rFonts w:eastAsia="Times New Roman" w:cs="Times New Roman"/>
                <w:sz w:val="20"/>
                <w:szCs w:val="20"/>
              </w:rPr>
              <w:t>Juliana Siqueira Sercundes.</w:t>
            </w:r>
          </w:p>
        </w:tc>
        <w:tc>
          <w:tcPr>
            <w:tcW w:w="30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b/>
                <w:b/>
                <w:bCs/>
                <w:sz w:val="20"/>
                <w:szCs w:val="20"/>
              </w:rPr>
            </w:pPr>
            <w:r>
              <w:rPr>
                <w:rFonts w:eastAsia="Times New Roman" w:cs="Times New Roman"/>
                <w:sz w:val="20"/>
                <w:szCs w:val="20"/>
              </w:rPr>
              <w:t>Servidora capacitada, conforme certificado em anexo.</w:t>
            </w:r>
          </w:p>
        </w:tc>
      </w:tr>
      <w:tr>
        <w:trPr/>
        <w:tc>
          <w:tcPr>
            <w:tcW w:w="2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Textoprformatado"/>
              <w:spacing w:lineRule="atLeast" w:line="100" w:before="0" w:after="200"/>
              <w:jc w:val="both"/>
              <w:rPr>
                <w:rFonts w:ascii="Times New Roman" w:hAnsi="Times New Roman" w:cs="Times New Roman"/>
                <w:color w:val="000000"/>
              </w:rPr>
            </w:pPr>
            <w:r>
              <w:rPr>
                <w:rFonts w:eastAsia="Times New Roman" w:cs="Times New Roman" w:ascii="Times New Roman" w:hAnsi="Times New Roman"/>
                <w:color w:val="000000"/>
              </w:rPr>
              <w:t xml:space="preserve">Seminário Governança e Gestão das Aquisições na Administração Pública Federal. Local: TCU. Previsto para o dia </w:t>
            </w:r>
            <w:r>
              <w:rPr>
                <w:rFonts w:cs="Times New Roman" w:ascii="Times New Roman" w:hAnsi="Times New Roman"/>
                <w:b/>
                <w:bCs/>
                <w:color w:val="000000"/>
              </w:rPr>
              <w:t>28/10/2015.</w:t>
            </w:r>
          </w:p>
          <w:p>
            <w:pPr>
              <w:pStyle w:val="Standard"/>
              <w:jc w:val="both"/>
              <w:rPr>
                <w:rFonts w:eastAsia="Calibri" w:cs="Times New Roman"/>
                <w:b/>
                <w:b/>
                <w:bCs/>
                <w:sz w:val="20"/>
                <w:szCs w:val="20"/>
              </w:rPr>
            </w:pPr>
            <w:r>
              <w:rPr>
                <w:rFonts w:eastAsia="Calibri" w:cs="Times New Roman"/>
                <w:b/>
                <w:bCs/>
                <w:sz w:val="20"/>
                <w:szCs w:val="20"/>
              </w:rPr>
            </w:r>
          </w:p>
        </w:tc>
        <w:tc>
          <w:tcPr>
            <w:tcW w:w="14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b/>
                <w:b/>
                <w:bCs/>
                <w:sz w:val="20"/>
                <w:szCs w:val="20"/>
              </w:rPr>
            </w:pPr>
            <w:r>
              <w:rPr>
                <w:rFonts w:eastAsia="Times New Roman" w:cs="Times New Roman"/>
                <w:sz w:val="20"/>
                <w:szCs w:val="20"/>
              </w:rPr>
              <w:t>8 Horas.</w:t>
            </w:r>
          </w:p>
        </w:tc>
        <w:tc>
          <w:tcPr>
            <w:tcW w:w="16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rPr>
                <w:rFonts w:eastAsia="Times New Roman" w:cs="Times New Roman"/>
                <w:sz w:val="20"/>
                <w:szCs w:val="20"/>
              </w:rPr>
            </w:pPr>
            <w:r>
              <w:rPr>
                <w:rFonts w:eastAsia="Times New Roman" w:cs="Times New Roman"/>
                <w:sz w:val="20"/>
                <w:szCs w:val="20"/>
              </w:rPr>
              <w:t>Jane Nóbrega Farina.</w:t>
            </w:r>
          </w:p>
        </w:tc>
        <w:tc>
          <w:tcPr>
            <w:tcW w:w="30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b/>
                <w:b/>
                <w:bCs/>
                <w:sz w:val="20"/>
                <w:szCs w:val="20"/>
              </w:rPr>
            </w:pPr>
            <w:r>
              <w:rPr>
                <w:rFonts w:eastAsia="Times New Roman" w:cs="Times New Roman"/>
                <w:sz w:val="20"/>
                <w:szCs w:val="20"/>
              </w:rPr>
              <w:t>Aguardando capacitação.</w:t>
            </w:r>
          </w:p>
        </w:tc>
      </w:tr>
      <w:tr>
        <w:trPr/>
        <w:tc>
          <w:tcPr>
            <w:tcW w:w="2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Formação de Auditores Internos I.</w:t>
            </w:r>
          </w:p>
        </w:tc>
        <w:tc>
          <w:tcPr>
            <w:tcW w:w="14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b/>
                <w:b/>
                <w:bCs/>
                <w:sz w:val="20"/>
                <w:szCs w:val="20"/>
              </w:rPr>
            </w:pPr>
            <w:r>
              <w:rPr>
                <w:rFonts w:eastAsia="Times New Roman" w:cs="Times New Roman"/>
                <w:sz w:val="20"/>
                <w:szCs w:val="20"/>
              </w:rPr>
              <w:t>40 Horas.</w:t>
            </w:r>
          </w:p>
        </w:tc>
        <w:tc>
          <w:tcPr>
            <w:tcW w:w="16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b/>
                <w:b/>
                <w:bCs/>
                <w:sz w:val="20"/>
                <w:szCs w:val="20"/>
              </w:rPr>
            </w:pPr>
            <w:r>
              <w:rPr>
                <w:rFonts w:eastAsia="Times New Roman" w:cs="Times New Roman"/>
                <w:sz w:val="20"/>
                <w:szCs w:val="20"/>
              </w:rPr>
              <w:t>Rosane Bezerra Magalhaes</w:t>
            </w:r>
          </w:p>
        </w:tc>
        <w:tc>
          <w:tcPr>
            <w:tcW w:w="30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b/>
                <w:b/>
                <w:bCs/>
                <w:sz w:val="20"/>
                <w:szCs w:val="20"/>
              </w:rPr>
            </w:pPr>
            <w:r>
              <w:rPr>
                <w:rFonts w:eastAsia="Times New Roman" w:cs="Times New Roman"/>
                <w:sz w:val="20"/>
                <w:szCs w:val="20"/>
              </w:rPr>
              <w:t>Servidora capacitada, conforme certificado em anexo. O referido curso foi inserido em substituição ao Curso - Capacita - CGU. Os servidores da AUDIN serão capacitados pelo Instituto dos Auditores Internos como alternativa pela ausência de previsão no PCCTAE de cursos de formação aos auditores das IFES.</w:t>
            </w:r>
          </w:p>
        </w:tc>
      </w:tr>
      <w:tr>
        <w:trPr/>
        <w:tc>
          <w:tcPr>
            <w:tcW w:w="24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b/>
                <w:sz w:val="20"/>
                <w:szCs w:val="20"/>
              </w:rPr>
              <w:t>Carga horária utilizada para realização de capacitações não previstas no PAINT/2015</w:t>
            </w:r>
          </w:p>
        </w:tc>
        <w:tc>
          <w:tcPr>
            <w:tcW w:w="14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Times New Roman" w:cs="Times New Roman"/>
                <w:sz w:val="20"/>
                <w:szCs w:val="20"/>
              </w:rPr>
            </w:pPr>
            <w:r>
              <w:rPr>
                <w:rFonts w:eastAsia="Times New Roman" w:cs="Times New Roman"/>
                <w:sz w:val="20"/>
                <w:szCs w:val="20"/>
              </w:rPr>
              <w:t>52 horas</w:t>
            </w:r>
          </w:p>
        </w:tc>
        <w:tc>
          <w:tcPr>
            <w:tcW w:w="16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Times New Roman" w:cs="Times New Roman"/>
                <w:sz w:val="20"/>
                <w:szCs w:val="20"/>
              </w:rPr>
            </w:pPr>
            <w:r>
              <w:rPr>
                <w:rFonts w:eastAsia="Times New Roman" w:cs="Times New Roman"/>
                <w:sz w:val="20"/>
                <w:szCs w:val="20"/>
              </w:rPr>
            </w:r>
          </w:p>
        </w:tc>
        <w:tc>
          <w:tcPr>
            <w:tcW w:w="30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Times New Roman" w:cs="Times New Roman"/>
                <w:sz w:val="20"/>
                <w:szCs w:val="20"/>
              </w:rPr>
            </w:pPr>
            <w:r>
              <w:rPr>
                <w:rFonts w:eastAsia="Times New Roman" w:cs="Times New Roman"/>
                <w:sz w:val="20"/>
                <w:szCs w:val="20"/>
              </w:rPr>
            </w:r>
          </w:p>
        </w:tc>
      </w:tr>
    </w:tbl>
    <w:p>
      <w:pPr>
        <w:pStyle w:val="Standard"/>
        <w:jc w:val="both"/>
        <w:rPr>
          <w:rFonts w:cs="Times New Roman"/>
          <w:b/>
          <w:b/>
          <w:bCs/>
        </w:rPr>
      </w:pPr>
      <w:r>
        <w:rPr>
          <w:rFonts w:cs="Times New Roman"/>
          <w:b/>
          <w:bCs/>
        </w:rPr>
      </w:r>
    </w:p>
    <w:p>
      <w:pPr>
        <w:pStyle w:val="Standard"/>
        <w:jc w:val="both"/>
        <w:rPr>
          <w:rFonts w:cs="Times New Roman"/>
          <w:bCs/>
        </w:rPr>
      </w:pPr>
      <w:r>
        <w:rPr>
          <w:rFonts w:cs="Times New Roman"/>
        </w:rPr>
        <w:t>c) Ações de Capacitações canceladas</w:t>
      </w:r>
      <w:r>
        <w:rPr>
          <w:rFonts w:cs="Times New Roman"/>
          <w:bCs/>
        </w:rPr>
        <w:t>:</w:t>
      </w:r>
    </w:p>
    <w:p>
      <w:pPr>
        <w:pStyle w:val="Standard"/>
        <w:jc w:val="both"/>
        <w:rPr>
          <w:rFonts w:cs="Times New Roman"/>
        </w:rPr>
      </w:pPr>
      <w:r>
        <w:rPr>
          <w:rFonts w:cs="Times New Roman"/>
        </w:rPr>
      </w:r>
    </w:p>
    <w:tbl>
      <w:tblPr>
        <w:tblW w:w="8657" w:type="dxa"/>
        <w:jc w:val="left"/>
        <w:tblInd w:w="186" w:type="dxa"/>
        <w:tblBorders>
          <w:top w:val="single" w:sz="4" w:space="0" w:color="000001"/>
          <w:left w:val="single" w:sz="4" w:space="0" w:color="000001"/>
          <w:bottom w:val="single" w:sz="4" w:space="0" w:color="000001"/>
          <w:insideH w:val="single" w:sz="4" w:space="0" w:color="000001"/>
        </w:tblBorders>
        <w:tblCellMar>
          <w:top w:w="0" w:type="dxa"/>
          <w:left w:w="98" w:type="dxa"/>
          <w:bottom w:w="0" w:type="dxa"/>
          <w:right w:w="108" w:type="dxa"/>
        </w:tblCellMar>
        <w:tblLook w:noVBand="0" w:val="0000" w:noHBand="0" w:lastColumn="0" w:firstColumn="0" w:lastRow="0" w:firstRow="0"/>
      </w:tblPr>
      <w:tblGrid>
        <w:gridCol w:w="2420"/>
        <w:gridCol w:w="1559"/>
        <w:gridCol w:w="1701"/>
        <w:gridCol w:w="2976"/>
      </w:tblGrid>
      <w:tr>
        <w:trPr>
          <w:trHeight w:val="1369" w:hRule="atLeast"/>
        </w:trPr>
        <w:tc>
          <w:tcPr>
            <w:tcW w:w="2420"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center"/>
              <w:rPr>
                <w:rFonts w:eastAsia="Times New Roman" w:cs="Times New Roman"/>
                <w:b/>
                <w:b/>
                <w:sz w:val="20"/>
                <w:szCs w:val="20"/>
              </w:rPr>
            </w:pPr>
            <w:r>
              <w:rPr>
                <w:rFonts w:eastAsia="Times New Roman" w:cs="Times New Roman"/>
                <w:b/>
                <w:sz w:val="20"/>
                <w:szCs w:val="20"/>
              </w:rPr>
              <w:t>CAPACITAÇÃO / SERVIDORES ( 2014 )</w:t>
            </w:r>
          </w:p>
        </w:tc>
        <w:tc>
          <w:tcPr>
            <w:tcW w:w="1559"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center"/>
              <w:rPr>
                <w:rFonts w:eastAsia="Times New Roman" w:cs="Times New Roman"/>
                <w:b/>
                <w:b/>
                <w:sz w:val="20"/>
                <w:szCs w:val="20"/>
              </w:rPr>
            </w:pPr>
            <w:r>
              <w:rPr>
                <w:rFonts w:eastAsia="Times New Roman" w:cs="Times New Roman"/>
                <w:b/>
                <w:sz w:val="20"/>
                <w:szCs w:val="20"/>
              </w:rPr>
              <w:t>CARGA HORÁRIA</w:t>
            </w:r>
          </w:p>
        </w:tc>
        <w:tc>
          <w:tcPr>
            <w:tcW w:w="1701"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center"/>
              <w:rPr>
                <w:rFonts w:eastAsia="Times New Roman" w:cs="Times New Roman"/>
                <w:b/>
                <w:b/>
                <w:sz w:val="20"/>
                <w:szCs w:val="20"/>
              </w:rPr>
            </w:pPr>
            <w:r>
              <w:rPr>
                <w:rFonts w:eastAsia="Times New Roman" w:cs="Times New Roman"/>
                <w:b/>
                <w:sz w:val="20"/>
                <w:szCs w:val="20"/>
              </w:rPr>
              <w:t>SERVIDORES</w:t>
            </w:r>
          </w:p>
        </w:tc>
        <w:tc>
          <w:tcPr>
            <w:tcW w:w="29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98" w:type="dxa"/>
            </w:tcMar>
            <w:vAlign w:val="center"/>
          </w:tcPr>
          <w:p>
            <w:pPr>
              <w:pStyle w:val="Contedodatabela"/>
              <w:spacing w:lineRule="atLeast" w:line="100"/>
              <w:jc w:val="both"/>
              <w:rPr>
                <w:rFonts w:eastAsia="Times New Roman" w:cs="Times New Roman"/>
                <w:b/>
                <w:b/>
                <w:bCs/>
                <w:sz w:val="20"/>
                <w:szCs w:val="20"/>
              </w:rPr>
            </w:pPr>
            <w:r>
              <w:rPr>
                <w:rFonts w:eastAsia="Times New Roman" w:cs="Times New Roman"/>
                <w:b/>
                <w:bCs/>
                <w:sz w:val="20"/>
                <w:szCs w:val="20"/>
              </w:rPr>
              <w:t>SITUAÇÃO DE REALIZAÇÃO</w:t>
            </w:r>
          </w:p>
        </w:tc>
      </w:tr>
      <w:tr>
        <w:trPr>
          <w:trHeight w:val="23" w:hRule="atLeast"/>
        </w:trPr>
        <w:tc>
          <w:tcPr>
            <w:tcW w:w="2420"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AAC – Autoavaliação de Controles (Control Self-Assessment).</w:t>
            </w:r>
          </w:p>
        </w:tc>
        <w:tc>
          <w:tcPr>
            <w:tcW w:w="1559"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40 Horas</w:t>
            </w:r>
          </w:p>
        </w:tc>
        <w:tc>
          <w:tcPr>
            <w:tcW w:w="1701"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Antônio Cândido de Souza Júnior.</w:t>
            </w:r>
          </w:p>
        </w:tc>
        <w:tc>
          <w:tcPr>
            <w:tcW w:w="29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Curso cancelado por limitações orçamentárias, conforme CI n. 01/2015- AUDIN – disponibilizado em anexo ao Ofício n. 12/2015 – AUDIN à CGU.</w:t>
            </w:r>
          </w:p>
        </w:tc>
      </w:tr>
      <w:tr>
        <w:trPr>
          <w:trHeight w:val="23" w:hRule="atLeast"/>
        </w:trPr>
        <w:tc>
          <w:tcPr>
            <w:tcW w:w="2420"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lang w:val="en-US"/>
              </w:rPr>
            </w:pPr>
            <w:r>
              <w:rPr>
                <w:rFonts w:eastAsia="Times New Roman" w:cs="Times New Roman"/>
                <w:sz w:val="20"/>
                <w:szCs w:val="20"/>
                <w:lang w:val="en-US"/>
              </w:rPr>
              <w:t>Gestão de Riscos (Enterprise Risk Management: An Introduction) + Report.</w:t>
            </w:r>
          </w:p>
        </w:tc>
        <w:tc>
          <w:tcPr>
            <w:tcW w:w="1559"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40 Horas</w:t>
            </w:r>
          </w:p>
        </w:tc>
        <w:tc>
          <w:tcPr>
            <w:tcW w:w="1701"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Antônio Cândido de Souza Júnior.</w:t>
            </w:r>
          </w:p>
          <w:p>
            <w:pPr>
              <w:pStyle w:val="Standard"/>
              <w:spacing w:lineRule="atLeast" w:line="100"/>
              <w:jc w:val="both"/>
              <w:rPr>
                <w:rFonts w:eastAsia="Times New Roman" w:cs="Times New Roman"/>
                <w:sz w:val="20"/>
                <w:szCs w:val="20"/>
              </w:rPr>
            </w:pPr>
            <w:r>
              <w:rPr>
                <w:rFonts w:eastAsia="Times New Roman" w:cs="Times New Roman"/>
                <w:sz w:val="20"/>
                <w:szCs w:val="20"/>
              </w:rPr>
            </w:r>
          </w:p>
        </w:tc>
        <w:tc>
          <w:tcPr>
            <w:tcW w:w="29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Curso cancelado pelo IIA (instituto dos Auditores internos do Brasil) por falta de quórum. Bem como, foi cancelado por limitações orçamentárias.</w:t>
            </w:r>
          </w:p>
        </w:tc>
      </w:tr>
      <w:tr>
        <w:trPr>
          <w:trHeight w:val="23" w:hRule="atLeast"/>
        </w:trPr>
        <w:tc>
          <w:tcPr>
            <w:tcW w:w="2420"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Auditoria de Tecnologia da Informação (NIVEL I – Fundamentos).</w:t>
            </w:r>
          </w:p>
        </w:tc>
        <w:tc>
          <w:tcPr>
            <w:tcW w:w="1559"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40 Horas.</w:t>
            </w:r>
          </w:p>
        </w:tc>
        <w:tc>
          <w:tcPr>
            <w:tcW w:w="1701"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Clayton de Mendonça Julião.</w:t>
            </w:r>
          </w:p>
        </w:tc>
        <w:tc>
          <w:tcPr>
            <w:tcW w:w="29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Curso cancelado por limitações orçamentárias, conforme CI n. 01/2015 - AUDIN – disponibilizado em anexo ao Ofício n. 12/2015 – AUDIN à CGU.</w:t>
            </w:r>
          </w:p>
        </w:tc>
      </w:tr>
      <w:tr>
        <w:trPr>
          <w:trHeight w:val="23" w:hRule="atLeast"/>
        </w:trPr>
        <w:tc>
          <w:tcPr>
            <w:tcW w:w="2420"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rPr>
                <w:rFonts w:eastAsia="Times New Roman" w:cs="Times New Roman"/>
                <w:sz w:val="20"/>
                <w:szCs w:val="20"/>
              </w:rPr>
            </w:pPr>
            <w:r>
              <w:rPr>
                <w:rFonts w:eastAsia="Times New Roman" w:cs="Times New Roman"/>
                <w:sz w:val="20"/>
                <w:szCs w:val="20"/>
              </w:rPr>
              <w:t>XLIII - Fórum Nacional dos Auditores Internos das Instituições vinculadas ao MEC (FONAI/MEC).</w:t>
            </w:r>
          </w:p>
        </w:tc>
        <w:tc>
          <w:tcPr>
            <w:tcW w:w="1559"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40 Horas.</w:t>
            </w:r>
          </w:p>
        </w:tc>
        <w:tc>
          <w:tcPr>
            <w:tcW w:w="1701"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Clayton de Mendonça Julião.</w:t>
            </w:r>
          </w:p>
        </w:tc>
        <w:tc>
          <w:tcPr>
            <w:tcW w:w="29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Curso cancelado por limitações orçamentárias, conforme CI n. 01/2015 – AUDIN – disponibilizado em anexo ao Ofício n. 12/2015 – AUDIN à CGU.</w:t>
            </w:r>
          </w:p>
        </w:tc>
      </w:tr>
      <w:tr>
        <w:trPr>
          <w:trHeight w:val="23" w:hRule="atLeast"/>
        </w:trPr>
        <w:tc>
          <w:tcPr>
            <w:tcW w:w="2420"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XLIII - Fórum Nacional dos Auditores Internos das Instituições vinculadas ao MEC (FONAI/MEC).</w:t>
            </w:r>
          </w:p>
        </w:tc>
        <w:tc>
          <w:tcPr>
            <w:tcW w:w="1559"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40 Horas.</w:t>
            </w:r>
          </w:p>
        </w:tc>
        <w:tc>
          <w:tcPr>
            <w:tcW w:w="1701"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Jane Nóbrega Farina.</w:t>
            </w:r>
          </w:p>
        </w:tc>
        <w:tc>
          <w:tcPr>
            <w:tcW w:w="29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Servidora capacitada, conforme certificado em anexo.</w:t>
            </w:r>
          </w:p>
        </w:tc>
      </w:tr>
      <w:tr>
        <w:trPr>
          <w:trHeight w:val="23" w:hRule="atLeast"/>
        </w:trPr>
        <w:tc>
          <w:tcPr>
            <w:tcW w:w="2420"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XII Semana de Administração Orçamentária Financeira e Contratações Públicas Federal.</w:t>
            </w:r>
          </w:p>
        </w:tc>
        <w:tc>
          <w:tcPr>
            <w:tcW w:w="1559"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40 Horas.</w:t>
            </w:r>
          </w:p>
        </w:tc>
        <w:tc>
          <w:tcPr>
            <w:tcW w:w="1701"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Jane Nóbrega Farina.</w:t>
            </w:r>
          </w:p>
        </w:tc>
        <w:tc>
          <w:tcPr>
            <w:tcW w:w="29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Curso cancelado por limitações orçamentárias, conforme CI n. 01/2015 - AUDIN – disponibilizado em anexo ao Ofício n. 12/2015 – AUDIN à CGU.</w:t>
            </w:r>
          </w:p>
        </w:tc>
      </w:tr>
      <w:tr>
        <w:trPr>
          <w:trHeight w:val="23" w:hRule="atLeast"/>
        </w:trPr>
        <w:tc>
          <w:tcPr>
            <w:tcW w:w="2420" w:type="dxa"/>
            <w:tcBorders>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COSO ICIF 2013 – Implementando a Estrutura de Controles Internos.</w:t>
            </w:r>
          </w:p>
        </w:tc>
        <w:tc>
          <w:tcPr>
            <w:tcW w:w="1559" w:type="dxa"/>
            <w:tcBorders>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40 horas.</w:t>
            </w:r>
          </w:p>
        </w:tc>
        <w:tc>
          <w:tcPr>
            <w:tcW w:w="1701" w:type="dxa"/>
            <w:tcBorders>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Juliana Siqueira Sercundes.</w:t>
            </w:r>
          </w:p>
        </w:tc>
        <w:tc>
          <w:tcPr>
            <w:tcW w:w="2976" w:type="dxa"/>
            <w:tcBorders>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Curso cancelado por limitações orçamentárias, conforme CI n. 01/2015 - AUDIN – disponibilizado em anexo ao Ofício n. 12/2015 – AUDIN à CGU.</w:t>
            </w:r>
          </w:p>
        </w:tc>
      </w:tr>
      <w:tr>
        <w:trPr>
          <w:trHeight w:val="23" w:hRule="atLeast"/>
        </w:trPr>
        <w:tc>
          <w:tcPr>
            <w:tcW w:w="2420"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Auditoria em Convênios Públicos.</w:t>
            </w:r>
          </w:p>
        </w:tc>
        <w:tc>
          <w:tcPr>
            <w:tcW w:w="1559"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40 Horas.</w:t>
            </w:r>
          </w:p>
        </w:tc>
        <w:tc>
          <w:tcPr>
            <w:tcW w:w="1701"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Juliana Siqueira Sercundes.</w:t>
            </w:r>
          </w:p>
        </w:tc>
        <w:tc>
          <w:tcPr>
            <w:tcW w:w="29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Curso cancelado por limitações orçamentárias, conforme CI n. 01/2015 - AUDIN – disponibilizado em anexo ao Ofício n. 12/2015 – AUDIN à CGU.</w:t>
            </w:r>
          </w:p>
        </w:tc>
      </w:tr>
      <w:tr>
        <w:trPr>
          <w:trHeight w:val="23" w:hRule="atLeast"/>
        </w:trPr>
        <w:tc>
          <w:tcPr>
            <w:tcW w:w="2420"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Como responder diligências da CGU e do TCU.</w:t>
            </w:r>
          </w:p>
        </w:tc>
        <w:tc>
          <w:tcPr>
            <w:tcW w:w="1559"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40 horas.</w:t>
            </w:r>
          </w:p>
        </w:tc>
        <w:tc>
          <w:tcPr>
            <w:tcW w:w="1701"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Rosane Bezerra de Magalhães.</w:t>
            </w:r>
          </w:p>
        </w:tc>
        <w:tc>
          <w:tcPr>
            <w:tcW w:w="29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Curso cancelado por limitações orçamentárias, conforme CI n. 01/2015 - AUDIN – disponibilizado em anexo ao Ofício n. 12/2015 – AUDIN à CGU.</w:t>
            </w:r>
          </w:p>
        </w:tc>
      </w:tr>
      <w:tr>
        <w:trPr>
          <w:trHeight w:val="1732" w:hRule="atLeast"/>
        </w:trPr>
        <w:tc>
          <w:tcPr>
            <w:tcW w:w="2420"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XII Semana de Administração Orçamentária Financeira e Contratações Públicas Federal.</w:t>
            </w:r>
          </w:p>
        </w:tc>
        <w:tc>
          <w:tcPr>
            <w:tcW w:w="1559"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40 horas.</w:t>
            </w:r>
          </w:p>
        </w:tc>
        <w:tc>
          <w:tcPr>
            <w:tcW w:w="1701"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jc w:val="both"/>
              <w:rPr>
                <w:rFonts w:eastAsia="Times New Roman" w:cs="Times New Roman"/>
                <w:sz w:val="20"/>
                <w:szCs w:val="20"/>
              </w:rPr>
            </w:pPr>
            <w:r>
              <w:rPr>
                <w:rFonts w:eastAsia="Times New Roman" w:cs="Times New Roman"/>
                <w:sz w:val="20"/>
                <w:szCs w:val="20"/>
              </w:rPr>
              <w:t>Rosane Bezerra de Magalhães.</w:t>
            </w:r>
          </w:p>
        </w:tc>
        <w:tc>
          <w:tcPr>
            <w:tcW w:w="29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Curso cancelado por limitações orçamentárias, conforme CI n. 01/2015 - AUDIN – disponibilizado em anexo ao Ofício n. 12/2015 – AUDIN à CGU.</w:t>
            </w:r>
          </w:p>
        </w:tc>
      </w:tr>
      <w:tr>
        <w:trPr>
          <w:trHeight w:val="793" w:hRule="atLeast"/>
        </w:trPr>
        <w:tc>
          <w:tcPr>
            <w:tcW w:w="2420"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b/>
                <w:sz w:val="20"/>
                <w:szCs w:val="20"/>
              </w:rPr>
              <w:t>Carga horária não utilizada para realização de capacitações previstas no PAINT/2015</w:t>
            </w:r>
          </w:p>
        </w:tc>
        <w:tc>
          <w:tcPr>
            <w:tcW w:w="1559"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t>400 Horas</w:t>
            </w:r>
          </w:p>
        </w:tc>
        <w:tc>
          <w:tcPr>
            <w:tcW w:w="1701" w:type="dxa"/>
            <w:tcBorders>
              <w:top w:val="single" w:sz="4" w:space="0" w:color="000001"/>
              <w:left w:val="single" w:sz="4" w:space="0" w:color="000001"/>
              <w:bottom w:val="single" w:sz="4" w:space="0" w:color="000001"/>
              <w:insideH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r>
          </w:p>
        </w:tc>
        <w:tc>
          <w:tcPr>
            <w:tcW w:w="29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val="clear"/>
            <w:tcMar>
              <w:left w:w="98" w:type="dxa"/>
            </w:tcMar>
            <w:vAlign w:val="center"/>
          </w:tcPr>
          <w:p>
            <w:pPr>
              <w:pStyle w:val="Standard"/>
              <w:spacing w:lineRule="atLeast" w:line="100" w:before="0" w:after="200"/>
              <w:jc w:val="both"/>
              <w:rPr>
                <w:rFonts w:eastAsia="Times New Roman" w:cs="Times New Roman"/>
                <w:sz w:val="20"/>
                <w:szCs w:val="20"/>
              </w:rPr>
            </w:pPr>
            <w:r>
              <w:rPr>
                <w:rFonts w:eastAsia="Times New Roman" w:cs="Times New Roman"/>
                <w:sz w:val="20"/>
                <w:szCs w:val="20"/>
              </w:rPr>
            </w:r>
          </w:p>
        </w:tc>
      </w:tr>
    </w:tbl>
    <w:p>
      <w:pPr>
        <w:pStyle w:val="Standard"/>
        <w:jc w:val="both"/>
        <w:rPr>
          <w:rFonts w:cs="Times New Roman"/>
        </w:rPr>
      </w:pPr>
      <w:r>
        <w:rPr>
          <w:rFonts w:cs="Times New Roman"/>
        </w:rPr>
      </w:r>
    </w:p>
    <w:p>
      <w:pPr>
        <w:pStyle w:val="Standard"/>
        <w:jc w:val="both"/>
        <w:rPr>
          <w:rFonts w:cs="Times New Roman"/>
          <w:bCs/>
        </w:rPr>
      </w:pPr>
      <w:r>
        <w:rPr>
          <w:rFonts w:cs="Times New Roman"/>
          <w:bCs/>
        </w:rPr>
        <w:t>Havia previsão no PAINT/2015 de realização de 720 horas de capacitação para os servidores da AUDIN/UFRPE. Até outubro de 2015 verificou-se que foram utilizadas 372 (320+52) horas com capacitação para os servidores, o que representa um percentual de 51,66%, restando 400 horas que não serão utilizadas em capacitação. As ações de capacitação foram canceladas por limitações orçamentárias.</w:t>
      </w:r>
    </w:p>
    <w:p>
      <w:pPr>
        <w:pStyle w:val="Normal"/>
        <w:spacing w:lineRule="auto" w:line="240" w:beforeAutospacing="1" w:afterAutospacing="1"/>
        <w:contextualSpacing/>
        <w:jc w:val="both"/>
        <w:rPr/>
      </w:pPr>
      <w:r>
        <w:rPr/>
        <w:t xml:space="preserve"> </w:t>
      </w:r>
    </w:p>
    <w:p>
      <w:pPr>
        <w:pStyle w:val="Normal"/>
        <w:spacing w:lineRule="auto" w:line="240" w:beforeAutospacing="1" w:afterAutospacing="1"/>
        <w:contextualSpacing/>
        <w:jc w:val="both"/>
        <w:rPr>
          <w:color w:val="FFFFFF" w:themeColor="background1"/>
          <w:spacing w:val="0"/>
          <w:sz w:val="2"/>
          <w:szCs w:val="2"/>
        </w:rPr>
      </w:pPr>
      <w:r>
        <w:rPr>
          <w:color w:val="FFFFFF" w:themeColor="background1"/>
          <w:spacing w:val="0"/>
          <w:sz w:val="2"/>
          <w:szCs w:val="2"/>
        </w:rPr>
        <w:t>##/Fato##</w:t>
      </w:r>
    </w:p>
    <w:p>
      <w:pPr>
        <w:pStyle w:val="Normal"/>
        <w:spacing w:lineRule="auto" w:line="240" w:before="0" w:after="0"/>
        <w:rPr>
          <w:rFonts w:ascii="Arial" w:hAnsi="Arial" w:cs="Arial"/>
          <w:b/>
          <w:b/>
        </w:rPr>
      </w:pPr>
      <w:r>
        <w:rPr>
          <w:b/>
        </w:rPr>
        <w:t>1.1.1.7</w:t>
      </w:r>
      <w:r>
        <w:rPr>
          <w:rFonts w:cs="Arial" w:ascii="Arial" w:hAnsi="Arial"/>
          <w:b/>
        </w:rPr>
        <w:t xml:space="preserve"> </w:t>
      </w:r>
      <w:r>
        <w:rPr>
          <w:b/>
        </w:rPr>
        <w:t>CONSTATAÇÃO</w:t>
      </w:r>
    </w:p>
    <w:p>
      <w:pPr>
        <w:pStyle w:val="Normal"/>
        <w:spacing w:lineRule="auto" w:line="240" w:before="0" w:after="0"/>
        <w:rPr>
          <w:b/>
          <w:b/>
        </w:rPr>
      </w:pPr>
      <w:r>
        <w:rPr>
          <w:b/>
        </w:rPr>
      </w:r>
    </w:p>
    <w:p>
      <w:pPr>
        <w:pStyle w:val="Normal"/>
        <w:spacing w:lineRule="auto" w:line="240" w:before="0" w:after="0"/>
        <w:jc w:val="both"/>
        <w:rPr>
          <w:b/>
          <w:b/>
        </w:rPr>
      </w:pPr>
      <w:r>
        <w:rPr>
          <w:b/>
        </w:rPr>
        <w:t xml:space="preserve">Falhas nos papéis de trabalho da AUDIN/UFRPE. </w:t>
      </w:r>
    </w:p>
    <w:p>
      <w:pPr>
        <w:pStyle w:val="Normal"/>
        <w:spacing w:lineRule="auto" w:line="240" w:before="0" w:after="0"/>
        <w:rPr/>
      </w:pPr>
      <w:r>
        <w:rPr/>
      </w:r>
    </w:p>
    <w:p>
      <w:pPr>
        <w:pStyle w:val="Normal"/>
        <w:spacing w:lineRule="auto" w:line="240" w:before="0" w:after="0"/>
        <w:rPr>
          <w:rFonts w:ascii="Arial" w:hAnsi="Arial" w:cs="Arial"/>
          <w:b/>
          <w:b/>
        </w:rPr>
      </w:pPr>
      <w:r>
        <w:rPr>
          <w:b/>
        </w:rPr>
        <w:t>Fato</w:t>
      </w:r>
    </w:p>
    <w:p>
      <w:pPr>
        <w:pStyle w:val="Normal"/>
        <w:spacing w:lineRule="auto" w:line="240" w:before="0" w:after="0"/>
        <w:rPr>
          <w:b/>
          <w:b/>
        </w:rPr>
      </w:pPr>
      <w:r>
        <w:rPr>
          <w:b/>
        </w:rPr>
      </w:r>
    </w:p>
    <w:p>
      <w:pPr>
        <w:pStyle w:val="Standard"/>
        <w:jc w:val="both"/>
        <w:rPr>
          <w:color w:val="000000"/>
        </w:rPr>
      </w:pPr>
      <w:r>
        <w:rPr>
          <w:color w:val="000000"/>
        </w:rPr>
        <w:t xml:space="preserve">Para proceder à análise dos papéis de trabalho da AUDIN foram selecionadas as seguintes atividades: </w:t>
      </w:r>
    </w:p>
    <w:p>
      <w:pPr>
        <w:pStyle w:val="Standard"/>
        <w:rPr>
          <w:rFonts w:cs="Times New Roman"/>
        </w:rPr>
      </w:pPr>
      <w:r>
        <w:rPr>
          <w:rFonts w:cs="Times New Roman"/>
        </w:rPr>
      </w:r>
    </w:p>
    <w:tbl>
      <w:tblPr>
        <w:tblW w:w="8720"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noVBand="1" w:val="04a0" w:noHBand="0" w:lastColumn="0" w:firstColumn="1" w:lastRow="0" w:firstRow="1"/>
      </w:tblPr>
      <w:tblGrid>
        <w:gridCol w:w="6580"/>
        <w:gridCol w:w="2139"/>
      </w:tblGrid>
      <w:tr>
        <w:trPr/>
        <w:tc>
          <w:tcPr>
            <w:tcW w:w="65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center"/>
              <w:rPr>
                <w:rFonts w:eastAsia="Calibri" w:cs="Times New Roman"/>
                <w:b/>
                <w:b/>
                <w:sz w:val="20"/>
                <w:szCs w:val="20"/>
              </w:rPr>
            </w:pPr>
            <w:r>
              <w:rPr>
                <w:rFonts w:eastAsia="Calibri" w:cs="Times New Roman"/>
                <w:b/>
                <w:sz w:val="20"/>
                <w:szCs w:val="20"/>
              </w:rPr>
              <w:t>Área de atuação</w:t>
            </w:r>
          </w:p>
        </w:tc>
        <w:tc>
          <w:tcPr>
            <w:tcW w:w="21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center"/>
              <w:rPr>
                <w:rFonts w:eastAsia="Calibri" w:cs="Times New Roman"/>
                <w:b/>
                <w:b/>
                <w:sz w:val="20"/>
                <w:szCs w:val="20"/>
              </w:rPr>
            </w:pPr>
            <w:r>
              <w:rPr>
                <w:rFonts w:eastAsia="Calibri" w:cs="Times New Roman"/>
                <w:b/>
                <w:sz w:val="20"/>
                <w:szCs w:val="20"/>
              </w:rPr>
              <w:t>Relatórios selecionados</w:t>
            </w:r>
          </w:p>
        </w:tc>
      </w:tr>
      <w:tr>
        <w:trPr/>
        <w:tc>
          <w:tcPr>
            <w:tcW w:w="65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sz w:val="20"/>
                <w:szCs w:val="20"/>
              </w:rPr>
            </w:pPr>
            <w:r>
              <w:rPr>
                <w:rFonts w:eastAsia="Calibri" w:cs="Times New Roman"/>
                <w:sz w:val="20"/>
                <w:szCs w:val="20"/>
              </w:rPr>
              <w:t>Atividade nº11/2015: Acompanhamento e avaliação da metodologia de planejamento, realização e execução das metas físicas e financeiras dos programas e ações da UFRPE referente ao exercício de 2014.</w:t>
            </w:r>
          </w:p>
        </w:tc>
        <w:tc>
          <w:tcPr>
            <w:tcW w:w="21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sz w:val="20"/>
                <w:szCs w:val="20"/>
              </w:rPr>
            </w:pPr>
            <w:r>
              <w:rPr>
                <w:rFonts w:eastAsia="Calibri" w:cs="Times New Roman"/>
                <w:sz w:val="20"/>
                <w:szCs w:val="20"/>
              </w:rPr>
              <w:t>Relatório de Auditoria Interna nº 01/2015</w:t>
            </w:r>
          </w:p>
        </w:tc>
      </w:tr>
      <w:tr>
        <w:trPr/>
        <w:tc>
          <w:tcPr>
            <w:tcW w:w="65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sz w:val="20"/>
                <w:szCs w:val="20"/>
              </w:rPr>
            </w:pPr>
            <w:r>
              <w:rPr>
                <w:rFonts w:eastAsia="Calibri" w:cs="Times New Roman"/>
                <w:sz w:val="20"/>
                <w:szCs w:val="20"/>
              </w:rPr>
              <w:t>06/2015: Atendimento às diligências dos órgãos de controle e fiscalização (TCU, CGU e MPU), apoio e acompanhamento às solicitações de auditoria nas fiscalizações “in loco” e cumprimento das deliberações expedidas.</w:t>
            </w:r>
          </w:p>
        </w:tc>
        <w:tc>
          <w:tcPr>
            <w:tcW w:w="21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sz w:val="20"/>
                <w:szCs w:val="20"/>
              </w:rPr>
            </w:pPr>
            <w:r>
              <w:rPr>
                <w:rFonts w:eastAsia="Calibri" w:cs="Times New Roman"/>
                <w:sz w:val="20"/>
                <w:szCs w:val="20"/>
              </w:rPr>
              <w:t>Parecer de Auditoria nº 02/2015</w:t>
            </w:r>
          </w:p>
        </w:tc>
      </w:tr>
      <w:tr>
        <w:trPr/>
        <w:tc>
          <w:tcPr>
            <w:tcW w:w="65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sz w:val="20"/>
                <w:szCs w:val="20"/>
              </w:rPr>
            </w:pPr>
            <w:r>
              <w:rPr>
                <w:rFonts w:eastAsia="Calibri" w:cs="Times New Roman"/>
                <w:sz w:val="20"/>
                <w:szCs w:val="20"/>
              </w:rPr>
              <w:t>06/2015: Atendimento às diligências dos órgãos de controle e fiscalização (TCU, CGU e MPU), apoio e acompanhamento às solicitações de auditoria nas fiscalizações “in loco” e cumprimento das deliberações expedidas.</w:t>
            </w:r>
          </w:p>
        </w:tc>
        <w:tc>
          <w:tcPr>
            <w:tcW w:w="21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Standard"/>
              <w:jc w:val="both"/>
              <w:rPr>
                <w:rFonts w:eastAsia="Calibri" w:cs="Times New Roman"/>
                <w:sz w:val="20"/>
                <w:szCs w:val="20"/>
              </w:rPr>
            </w:pPr>
            <w:r>
              <w:rPr>
                <w:rFonts w:eastAsia="Calibri" w:cs="Times New Roman"/>
                <w:sz w:val="20"/>
                <w:szCs w:val="20"/>
              </w:rPr>
              <w:t>Parecer de Auditoria nº 03/2015</w:t>
            </w:r>
          </w:p>
        </w:tc>
      </w:tr>
    </w:tbl>
    <w:p>
      <w:pPr>
        <w:pStyle w:val="Standard"/>
        <w:rPr>
          <w:rFonts w:cs="Times New Roman"/>
        </w:rPr>
      </w:pPr>
      <w:r>
        <w:rPr>
          <w:rFonts w:cs="Times New Roman"/>
        </w:rPr>
      </w:r>
    </w:p>
    <w:p>
      <w:pPr>
        <w:pStyle w:val="Textbody"/>
        <w:jc w:val="both"/>
        <w:rPr>
          <w:rFonts w:cs="Times New Roman"/>
          <w:color w:val="000000"/>
        </w:rPr>
      </w:pPr>
      <w:r>
        <w:rPr>
          <w:rFonts w:cs="Times New Roman"/>
          <w:color w:val="000000"/>
        </w:rPr>
        <w:t>Ressalta-se que a AUDIN/UFRPE, até o momento da realização dos trabalhos de campo da Ordem de Serviço nº 201504965, só havia finalizado Relatório de Auditoria Interna nº 01/2015.</w:t>
      </w:r>
    </w:p>
    <w:p>
      <w:pPr>
        <w:pStyle w:val="Textbody"/>
        <w:jc w:val="both"/>
        <w:rPr>
          <w:rFonts w:cs="Times New Roman"/>
          <w:color w:val="000000"/>
        </w:rPr>
      </w:pPr>
      <w:r>
        <w:rPr>
          <w:rFonts w:cs="Times New Roman"/>
          <w:color w:val="000000"/>
        </w:rPr>
        <w:t>Da análise da citada documentação, verificou-se que:</w:t>
      </w:r>
    </w:p>
    <w:p>
      <w:pPr>
        <w:pStyle w:val="Normal"/>
        <w:jc w:val="both"/>
        <w:rPr>
          <w:rFonts w:eastAsia="Times New Roman"/>
          <w:lang w:eastAsia="pt-BR"/>
        </w:rPr>
      </w:pPr>
      <w:r>
        <w:rPr>
          <w:color w:val="000000"/>
        </w:rPr>
        <w:t xml:space="preserve">a) Não foram identificados </w:t>
      </w:r>
      <w:r>
        <w:rPr>
          <w:rFonts w:eastAsia="Times New Roman"/>
          <w:lang w:eastAsia="pt-BR"/>
        </w:rPr>
        <w:t>levantamentos de dados constantes de sistemas corporativos (LOA, SIAFI, SIMEC, entre outros) e não há registros quanto à utilização desses dados para o planejamento da auditoria;</w:t>
      </w:r>
    </w:p>
    <w:p>
      <w:pPr>
        <w:pStyle w:val="Textbody"/>
        <w:jc w:val="both"/>
        <w:rPr>
          <w:rFonts w:cs="Times New Roman"/>
          <w:color w:val="000000"/>
        </w:rPr>
      </w:pPr>
      <w:r>
        <w:rPr>
          <w:rFonts w:cs="Times New Roman"/>
          <w:color w:val="000000"/>
        </w:rPr>
      </w:r>
    </w:p>
    <w:p>
      <w:pPr>
        <w:pStyle w:val="Textbody"/>
        <w:jc w:val="both"/>
        <w:rPr>
          <w:rFonts w:cs="Times New Roman"/>
          <w:color w:val="000000"/>
        </w:rPr>
      </w:pPr>
      <w:r>
        <w:rPr>
          <w:rFonts w:cs="Times New Roman"/>
          <w:color w:val="000000"/>
        </w:rPr>
        <w:t>b) Não foram identificados os critérios utilizados para definição do escopo dos trabalhos, bem como informações que demonstrassem a extensão (amplitude dos exames realizados) e profundidade (grau de detalhamento dos exames), e se estes abordavam as questões de materialidade, criticidade e relevância na seleção das áreas/programas-ações/processos selecionados para análise.</w:t>
      </w:r>
    </w:p>
    <w:p>
      <w:pPr>
        <w:pStyle w:val="Normal"/>
        <w:spacing w:lineRule="auto" w:line="240" w:beforeAutospacing="1" w:afterAutospacing="1"/>
        <w:contextualSpacing/>
        <w:jc w:val="both"/>
        <w:rPr>
          <w:color w:val="FFFFFF" w:themeColor="background1"/>
          <w:spacing w:val="0"/>
          <w:sz w:val="2"/>
          <w:szCs w:val="2"/>
        </w:rPr>
      </w:pPr>
      <w:r>
        <w:rPr>
          <w:color w:val="FFFFFF" w:themeColor="background1"/>
          <w:spacing w:val="0"/>
          <w:sz w:val="2"/>
          <w:szCs w:val="2"/>
        </w:rPr>
        <w:t>##/Fato##</w:t>
      </w:r>
    </w:p>
    <w:p>
      <w:pPr>
        <w:pStyle w:val="Normal"/>
        <w:spacing w:lineRule="auto" w:line="240" w:before="0" w:after="0"/>
        <w:rPr>
          <w:rFonts w:ascii="Arial" w:hAnsi="Arial" w:cs="Arial"/>
          <w:b/>
          <w:b/>
        </w:rPr>
      </w:pPr>
      <w:r>
        <w:rPr>
          <w:b/>
        </w:rPr>
        <w:t>Causa</w:t>
      </w:r>
    </w:p>
    <w:p>
      <w:pPr>
        <w:pStyle w:val="Normal"/>
        <w:spacing w:beforeAutospacing="1" w:after="200"/>
        <w:rPr>
          <w:rFonts w:eastAsia="Times New Roman"/>
          <w:color w:val="000000"/>
        </w:rPr>
      </w:pPr>
      <w:r>
        <w:rPr>
          <w:lang w:eastAsia="pt-BR"/>
        </w:rPr>
        <w:t>Fragilidades nos controles internos da UFRPE no tocante ao arquivamento de documentos que embasaram o planejamento da auditoria, bem como na definição dos critérios utilizados para definição do escopo dos trabalhos.</w:t>
      </w:r>
      <w:r>
        <w:rPr>
          <w:rFonts w:eastAsia="Times New Roman"/>
          <w:lang w:eastAsia="pt-BR"/>
        </w:rPr>
        <w:t xml:space="preserve"> </w:t>
      </w:r>
    </w:p>
    <w:p>
      <w:pPr>
        <w:pStyle w:val="Normal"/>
        <w:spacing w:lineRule="auto" w:line="240" w:beforeAutospacing="1" w:afterAutospacing="1"/>
        <w:contextualSpacing/>
        <w:jc w:val="both"/>
        <w:rPr>
          <w:color w:val="FFFFFF" w:themeColor="background1"/>
          <w:spacing w:val="0"/>
          <w:sz w:val="2"/>
          <w:szCs w:val="2"/>
        </w:rPr>
      </w:pPr>
      <w:r>
        <w:rPr>
          <w:color w:val="FFFFFF" w:themeColor="background1"/>
          <w:spacing w:val="0"/>
          <w:sz w:val="2"/>
          <w:szCs w:val="2"/>
        </w:rPr>
        <w:t>##/Causa##</w:t>
      </w:r>
    </w:p>
    <w:p>
      <w:pPr>
        <w:pStyle w:val="Normal"/>
        <w:spacing w:lineRule="auto" w:line="240" w:before="0" w:after="0"/>
        <w:rPr>
          <w:rFonts w:ascii="Arial" w:hAnsi="Arial" w:cs="Arial"/>
          <w:b/>
          <w:b/>
        </w:rPr>
      </w:pPr>
      <w:r>
        <w:rPr>
          <w:b/>
        </w:rPr>
        <w:t>Manifestação da Unidade Examinada</w:t>
      </w:r>
    </w:p>
    <w:p>
      <w:pPr>
        <w:pStyle w:val="Normal"/>
        <w:spacing w:beforeAutospacing="1" w:after="200"/>
        <w:rPr>
          <w:rFonts w:eastAsia="Times New Roman"/>
          <w:lang w:eastAsia="pt-BR"/>
        </w:rPr>
      </w:pPr>
      <w:r>
        <w:rPr>
          <w:bCs/>
          <w:color w:val="000000"/>
        </w:rPr>
        <w:t>Conforme justificativas encaminhadas pelo Auditor Interno, por meio do Ofício nº 16/2015 - AUDIN, de 27/10/2015.</w:t>
      </w:r>
    </w:p>
    <w:p>
      <w:pPr>
        <w:pStyle w:val="Normal"/>
        <w:spacing w:beforeAutospacing="1" w:after="200"/>
        <w:jc w:val="both"/>
        <w:rPr>
          <w:rFonts w:eastAsia="Times New Roman"/>
          <w:i/>
          <w:i/>
          <w:lang w:eastAsia="pt-BR"/>
        </w:rPr>
      </w:pPr>
      <w:r>
        <w:rPr>
          <w:rFonts w:eastAsia="Times New Roman"/>
          <w:lang w:eastAsia="pt-BR"/>
        </w:rPr>
        <w:t>“</w:t>
      </w:r>
      <w:r>
        <w:rPr>
          <w:rFonts w:eastAsia="Times New Roman"/>
          <w:i/>
          <w:lang w:eastAsia="pt-BR"/>
        </w:rPr>
        <w:t xml:space="preserve">Em relação ao achado de auditoria, informamos que não se fez necessário levantamento de dados por meio de extração de dados, tendo em vista que o corpo técnico consultou ao SIMEC e SIAFI para verificar a confiabilidade e fidedignidade da informação contida no Relatório de Gestão de 2014, após confirmação o RG/2014 foi utilizado como </w:t>
      </w:r>
      <w:r>
        <w:rPr>
          <w:rFonts w:eastAsia="Times New Roman"/>
          <w:bCs/>
          <w:i/>
          <w:lang w:eastAsia="pt-BR"/>
        </w:rPr>
        <w:t>fonte de informação</w:t>
      </w:r>
      <w:r>
        <w:rPr>
          <w:rFonts w:eastAsia="Times New Roman"/>
          <w:i/>
          <w:lang w:eastAsia="pt-BR"/>
        </w:rPr>
        <w:t xml:space="preserve"> para atividade de auditoria realizada. </w:t>
      </w:r>
    </w:p>
    <w:p>
      <w:pPr>
        <w:pStyle w:val="Normal"/>
        <w:spacing w:beforeAutospacing="1" w:after="200"/>
        <w:jc w:val="both"/>
        <w:rPr>
          <w:rFonts w:eastAsia="Times New Roman"/>
          <w:i/>
          <w:i/>
          <w:lang w:eastAsia="pt-BR"/>
        </w:rPr>
      </w:pPr>
      <w:r>
        <w:rPr>
          <w:rFonts w:eastAsia="Times New Roman"/>
          <w:i/>
          <w:lang w:eastAsia="pt-BR"/>
        </w:rPr>
        <w:t>Esclarecemos que o escopo foi definido em amplitude, conforme os objetivos da atividade proposta no planejamento e programa de auditoria, quais foram:</w:t>
      </w:r>
    </w:p>
    <w:p>
      <w:pPr>
        <w:pStyle w:val="Normal"/>
        <w:numPr>
          <w:ilvl w:val="0"/>
          <w:numId w:val="1"/>
        </w:numPr>
        <w:spacing w:lineRule="auto" w:line="240" w:beforeAutospacing="1" w:after="0"/>
        <w:jc w:val="both"/>
        <w:rPr>
          <w:rFonts w:eastAsia="Times New Roman"/>
          <w:i/>
          <w:i/>
          <w:lang w:eastAsia="pt-BR"/>
        </w:rPr>
      </w:pPr>
      <w:r>
        <w:rPr>
          <w:rFonts w:eastAsia="Times New Roman"/>
          <w:i/>
          <w:lang w:eastAsia="pt-BR"/>
        </w:rPr>
        <w:t xml:space="preserve">Avaliar os resultados, quanto à eficácia e à eficiência da gestão orçamentária e financeira, objetivando analisar o alcance dos objetivos planejados e a qualidade do gerenciamento; </w:t>
      </w:r>
    </w:p>
    <w:p>
      <w:pPr>
        <w:pStyle w:val="Normal"/>
        <w:numPr>
          <w:ilvl w:val="0"/>
          <w:numId w:val="1"/>
        </w:numPr>
        <w:spacing w:lineRule="auto" w:line="240" w:beforeAutospacing="1" w:after="0"/>
        <w:jc w:val="both"/>
        <w:rPr>
          <w:rFonts w:eastAsia="Times New Roman"/>
          <w:i/>
          <w:i/>
          <w:lang w:eastAsia="pt-BR"/>
        </w:rPr>
      </w:pPr>
      <w:r>
        <w:rPr>
          <w:rFonts w:eastAsia="Times New Roman"/>
          <w:i/>
          <w:lang w:eastAsia="pt-BR"/>
        </w:rPr>
        <w:t>Acompanhar, analisar e verificar a execução orçamentária e financeira junto ao SIMEC, SIGPLAN e SIAFI;</w:t>
      </w:r>
    </w:p>
    <w:p>
      <w:pPr>
        <w:pStyle w:val="Normal"/>
        <w:numPr>
          <w:ilvl w:val="0"/>
          <w:numId w:val="1"/>
        </w:numPr>
        <w:spacing w:lineRule="auto" w:line="240" w:beforeAutospacing="1" w:after="0"/>
        <w:jc w:val="both"/>
        <w:rPr>
          <w:rFonts w:eastAsia="Times New Roman"/>
          <w:i/>
          <w:i/>
          <w:lang w:eastAsia="pt-BR"/>
        </w:rPr>
      </w:pPr>
      <w:r>
        <w:rPr>
          <w:rFonts w:eastAsia="Times New Roman"/>
          <w:i/>
          <w:lang w:eastAsia="pt-BR"/>
        </w:rPr>
        <w:t>Avaliar a legalidade na execução orçamentária por cotejamento entre o orçamento executado e as determinações legais em vigência (lei 4320/64, LC n. 101/2001, Decreto 93872/86 e demais dispositivos legais), detectando se houve inconsistências e impropriedades, e, sugerindo, se houver tais divergências, adequações e melhorias no que tange aos aspectos quantitativos e qualitativos do orçamento, objetivando a busca da eficiência e eficácia na aplicação dos recursos públicos na execução das ações planejadas pela UFRPE; e</w:t>
      </w:r>
    </w:p>
    <w:p>
      <w:pPr>
        <w:pStyle w:val="Normal"/>
        <w:numPr>
          <w:ilvl w:val="0"/>
          <w:numId w:val="1"/>
        </w:numPr>
        <w:spacing w:lineRule="auto" w:line="240" w:beforeAutospacing="1" w:after="0"/>
        <w:jc w:val="both"/>
        <w:rPr>
          <w:rFonts w:eastAsia="Times New Roman"/>
          <w:i/>
          <w:i/>
          <w:lang w:eastAsia="pt-BR"/>
        </w:rPr>
      </w:pPr>
      <w:r>
        <w:rPr>
          <w:rFonts w:eastAsia="Times New Roman"/>
          <w:i/>
          <w:lang w:eastAsia="pt-BR"/>
        </w:rPr>
        <w:t>Acompanhar e avaliar a conformidade do planejamento e execução dos programas e ações da UFRPE referente ao exercício de 2014.</w:t>
      </w:r>
    </w:p>
    <w:p>
      <w:pPr>
        <w:pStyle w:val="Normal"/>
        <w:numPr>
          <w:ilvl w:val="0"/>
          <w:numId w:val="1"/>
        </w:numPr>
        <w:spacing w:lineRule="auto" w:line="240" w:beforeAutospacing="1" w:after="0"/>
        <w:jc w:val="both"/>
        <w:rPr>
          <w:rFonts w:eastAsia="Times New Roman"/>
          <w:i/>
          <w:i/>
          <w:lang w:eastAsia="pt-BR"/>
        </w:rPr>
      </w:pPr>
      <w:r>
        <w:rPr>
          <w:rFonts w:eastAsia="Times New Roman"/>
          <w:i/>
          <w:lang w:eastAsia="pt-BR"/>
        </w:rPr>
        <w:t xml:space="preserve">Avaliar os Indicadores de Desempenho da UFRPE, conforme DN TCU n.º 408/2002. </w:t>
      </w:r>
    </w:p>
    <w:p>
      <w:pPr>
        <w:pStyle w:val="Normal"/>
        <w:spacing w:beforeAutospacing="1" w:after="200"/>
        <w:ind w:left="720" w:hanging="0"/>
        <w:jc w:val="both"/>
        <w:rPr>
          <w:rFonts w:eastAsia="Times New Roman"/>
          <w:i/>
          <w:i/>
          <w:lang w:eastAsia="pt-BR"/>
        </w:rPr>
      </w:pPr>
      <w:r>
        <w:rPr>
          <w:rFonts w:eastAsia="Times New Roman"/>
          <w:i/>
          <w:lang w:eastAsia="pt-BR"/>
        </w:rPr>
        <w:t>Além, identificamos também os procedimentos executados (detalhamento dos exames), definidos no escopo da atividade contido no Relatório de Auditoria n. 01/2015, conforme segue abaixo:</w:t>
      </w:r>
    </w:p>
    <w:p>
      <w:pPr>
        <w:pStyle w:val="Normal"/>
        <w:numPr>
          <w:ilvl w:val="0"/>
          <w:numId w:val="1"/>
        </w:numPr>
        <w:spacing w:lineRule="auto" w:line="240" w:beforeAutospacing="1" w:after="0"/>
        <w:jc w:val="both"/>
        <w:rPr>
          <w:rFonts w:eastAsia="Times New Roman"/>
          <w:i/>
          <w:i/>
          <w:lang w:eastAsia="pt-BR"/>
        </w:rPr>
      </w:pPr>
      <w:r>
        <w:rPr>
          <w:rFonts w:eastAsia="Times New Roman"/>
          <w:i/>
          <w:lang w:eastAsia="pt-BR"/>
        </w:rPr>
        <w:t>Acompanhar e avaliar a conformidade do planejamento e execução dos programas e ações da UFRPE. Foram acompanhados e avaliados 100% dos programas e ações da UFRPE referente ao exercício de 2014;</w:t>
      </w:r>
    </w:p>
    <w:p>
      <w:pPr>
        <w:pStyle w:val="Normal"/>
        <w:numPr>
          <w:ilvl w:val="0"/>
          <w:numId w:val="1"/>
        </w:numPr>
        <w:spacing w:lineRule="auto" w:line="240" w:beforeAutospacing="1" w:after="0"/>
        <w:jc w:val="both"/>
        <w:rPr>
          <w:rFonts w:eastAsia="Times New Roman"/>
          <w:i/>
          <w:i/>
          <w:lang w:eastAsia="pt-BR"/>
        </w:rPr>
      </w:pPr>
      <w:r>
        <w:rPr>
          <w:rFonts w:eastAsia="Times New Roman"/>
          <w:i/>
          <w:lang w:eastAsia="pt-BR"/>
        </w:rPr>
        <w:t xml:space="preserve">Verificar as metas estabelecidas no PPA; </w:t>
      </w:r>
    </w:p>
    <w:p>
      <w:pPr>
        <w:pStyle w:val="Normal"/>
        <w:numPr>
          <w:ilvl w:val="0"/>
          <w:numId w:val="1"/>
        </w:numPr>
        <w:spacing w:lineRule="auto" w:line="240" w:beforeAutospacing="1" w:after="0"/>
        <w:jc w:val="both"/>
        <w:rPr>
          <w:rFonts w:eastAsia="Times New Roman"/>
          <w:i/>
          <w:i/>
          <w:lang w:eastAsia="pt-BR"/>
        </w:rPr>
      </w:pPr>
      <w:r>
        <w:rPr>
          <w:rFonts w:eastAsia="Times New Roman"/>
          <w:i/>
          <w:lang w:eastAsia="pt-BR"/>
        </w:rPr>
        <w:t>Comparar dados de planejamento do SIMEC e SIGPLAN com os registros da execução orçamentária constantes do SIAFI;</w:t>
      </w:r>
    </w:p>
    <w:p>
      <w:pPr>
        <w:pStyle w:val="Normal"/>
        <w:numPr>
          <w:ilvl w:val="0"/>
          <w:numId w:val="1"/>
        </w:numPr>
        <w:spacing w:lineRule="auto" w:line="240" w:beforeAutospacing="1" w:after="0"/>
        <w:jc w:val="both"/>
        <w:rPr>
          <w:rFonts w:eastAsia="Times New Roman"/>
          <w:i/>
          <w:i/>
          <w:lang w:eastAsia="pt-BR"/>
        </w:rPr>
      </w:pPr>
      <w:r>
        <w:rPr>
          <w:rFonts w:eastAsia="Times New Roman"/>
          <w:i/>
          <w:lang w:eastAsia="pt-BR"/>
        </w:rPr>
        <w:t>Verificar o cumprimento das metas físicas e financeiras estabelecidas para cada programa;</w:t>
      </w:r>
    </w:p>
    <w:p>
      <w:pPr>
        <w:pStyle w:val="Normal"/>
        <w:numPr>
          <w:ilvl w:val="0"/>
          <w:numId w:val="1"/>
        </w:numPr>
        <w:spacing w:lineRule="auto" w:line="240" w:beforeAutospacing="1" w:after="0"/>
        <w:jc w:val="both"/>
        <w:rPr>
          <w:rFonts w:eastAsia="Times New Roman"/>
          <w:i/>
          <w:i/>
          <w:lang w:eastAsia="pt-BR"/>
        </w:rPr>
      </w:pPr>
      <w:r>
        <w:rPr>
          <w:rFonts w:eastAsia="Times New Roman"/>
          <w:i/>
          <w:lang w:eastAsia="pt-BR"/>
        </w:rPr>
        <w:t xml:space="preserve">Analisar a execução do orçamento de acordo com o aprovado na Lei Orçamentária Anual (LOA); </w:t>
      </w:r>
    </w:p>
    <w:p>
      <w:pPr>
        <w:pStyle w:val="Normal"/>
        <w:numPr>
          <w:ilvl w:val="0"/>
          <w:numId w:val="1"/>
        </w:numPr>
        <w:spacing w:lineRule="auto" w:line="240" w:beforeAutospacing="1" w:after="0"/>
        <w:jc w:val="both"/>
        <w:rPr>
          <w:rFonts w:eastAsia="Times New Roman"/>
          <w:i/>
          <w:i/>
          <w:lang w:eastAsia="pt-BR"/>
        </w:rPr>
      </w:pPr>
      <w:r>
        <w:rPr>
          <w:rFonts w:eastAsia="Times New Roman"/>
          <w:i/>
          <w:lang w:eastAsia="pt-BR"/>
        </w:rPr>
        <w:t xml:space="preserve">Verificar a classificação das receitas e despesas de acordo com o orçamento; </w:t>
      </w:r>
    </w:p>
    <w:p>
      <w:pPr>
        <w:pStyle w:val="Normal"/>
        <w:numPr>
          <w:ilvl w:val="0"/>
          <w:numId w:val="1"/>
        </w:numPr>
        <w:spacing w:lineRule="auto" w:line="240" w:beforeAutospacing="1" w:after="0"/>
        <w:jc w:val="both"/>
        <w:rPr>
          <w:rFonts w:eastAsia="Times New Roman"/>
          <w:i/>
          <w:i/>
          <w:lang w:eastAsia="pt-BR"/>
        </w:rPr>
      </w:pPr>
      <w:r>
        <w:rPr>
          <w:rFonts w:eastAsia="Times New Roman"/>
          <w:i/>
          <w:lang w:eastAsia="pt-BR"/>
        </w:rPr>
        <w:t>Verificar se as despesas possuem respaldo legal e são condizentes com os objetivos institucionais; e</w:t>
      </w:r>
    </w:p>
    <w:p>
      <w:pPr>
        <w:pStyle w:val="Normal"/>
        <w:numPr>
          <w:ilvl w:val="0"/>
          <w:numId w:val="1"/>
        </w:numPr>
        <w:spacing w:lineRule="auto" w:line="240" w:beforeAutospacing="1" w:after="0"/>
        <w:jc w:val="both"/>
        <w:rPr>
          <w:rFonts w:eastAsia="Times New Roman"/>
          <w:i/>
          <w:i/>
          <w:lang w:eastAsia="pt-BR"/>
        </w:rPr>
      </w:pPr>
      <w:r>
        <w:rPr>
          <w:rFonts w:eastAsia="Times New Roman"/>
          <w:i/>
          <w:lang w:eastAsia="pt-BR"/>
        </w:rPr>
        <w:t>Verificar o atendimento das recomendações/determinações anteriormente expedidas pela AUDIN e CGU/TCU respectivamente relacionadas a esta atividade.</w:t>
      </w:r>
    </w:p>
    <w:p>
      <w:pPr>
        <w:pStyle w:val="Normal"/>
        <w:spacing w:beforeAutospacing="1" w:after="200"/>
        <w:jc w:val="both"/>
        <w:rPr>
          <w:rFonts w:eastAsia="Times New Roman"/>
          <w:lang w:eastAsia="pt-BR"/>
        </w:rPr>
      </w:pPr>
      <w:r>
        <w:rPr>
          <w:rFonts w:eastAsia="Times New Roman"/>
          <w:i/>
          <w:lang w:eastAsia="pt-BR"/>
        </w:rPr>
        <w:t>Percebe-se que nessa atividade foi realizado testes em 100% dos programas e ações da UFRPE, portanto o universo auditável foi definido. A AUDIN precisava identificar e monitorar todas as ações da UFRPE, haja vista ser o setor competente em avaliar a gestão quanto às ações executadas pela instituição, portanto não cabendo aplicar os critérios da materialidade, relevância e criticidade pretérita para definição de escopo e amostra.</w:t>
      </w:r>
      <w:r>
        <w:rPr>
          <w:rFonts w:eastAsia="Times New Roman"/>
          <w:lang w:eastAsia="pt-BR"/>
        </w:rPr>
        <w:t>”</w:t>
      </w:r>
    </w:p>
    <w:p>
      <w:pPr>
        <w:pStyle w:val="Normal"/>
        <w:spacing w:lineRule="auto" w:line="240" w:beforeAutospacing="1" w:afterAutospacing="1"/>
        <w:contextualSpacing/>
        <w:jc w:val="both"/>
        <w:rPr/>
      </w:pPr>
      <w:r>
        <w:rPr/>
        <w:t xml:space="preserve"> </w:t>
      </w:r>
    </w:p>
    <w:p>
      <w:pPr>
        <w:pStyle w:val="Normal"/>
        <w:spacing w:lineRule="auto" w:line="240" w:beforeAutospacing="1" w:afterAutospacing="1"/>
        <w:contextualSpacing/>
        <w:jc w:val="both"/>
        <w:rPr>
          <w:color w:val="FFFFFF" w:themeColor="background1"/>
          <w:spacing w:val="0"/>
          <w:sz w:val="2"/>
          <w:szCs w:val="2"/>
        </w:rPr>
      </w:pPr>
      <w:r>
        <w:rPr>
          <w:color w:val="FFFFFF" w:themeColor="background1"/>
          <w:spacing w:val="0"/>
          <w:sz w:val="2"/>
          <w:szCs w:val="2"/>
        </w:rPr>
        <w:t>##/ManifestacaoUnidadeExaminada##</w:t>
      </w:r>
    </w:p>
    <w:p>
      <w:pPr>
        <w:pStyle w:val="Normal"/>
        <w:spacing w:lineRule="auto" w:line="240" w:before="0" w:after="0"/>
        <w:rPr>
          <w:rFonts w:ascii="Arial" w:hAnsi="Arial" w:cs="Arial"/>
          <w:b/>
          <w:b/>
        </w:rPr>
      </w:pPr>
      <w:r>
        <w:rPr>
          <w:b/>
        </w:rPr>
        <w:t>Análise do Controle Interno</w:t>
      </w:r>
    </w:p>
    <w:p>
      <w:pPr>
        <w:pStyle w:val="Normal"/>
        <w:spacing w:lineRule="auto" w:line="240" w:before="0" w:after="0"/>
        <w:rPr>
          <w:b/>
          <w:b/>
        </w:rPr>
      </w:pPr>
      <w:r>
        <w:rPr>
          <w:b/>
        </w:rPr>
      </w:r>
    </w:p>
    <w:p>
      <w:pPr>
        <w:pStyle w:val="Standard"/>
        <w:jc w:val="both"/>
        <w:rPr>
          <w:rFonts w:cs="Times New Roman"/>
        </w:rPr>
      </w:pPr>
      <w:r>
        <w:rPr>
          <w:rFonts w:cs="Times New Roman"/>
        </w:rPr>
        <w:t>Primeiro é necessário informar que, apesar dos trabalhos de campo só terem ocorrido em outubro de 2015, apenas o</w:t>
      </w:r>
      <w:r>
        <w:rPr>
          <w:rFonts w:eastAsia="Calibri" w:cs="Times New Roman"/>
        </w:rPr>
        <w:t xml:space="preserve"> Relatório de Auditoria Interna nº 01/2015 havia sido finalizado para que se procedesse à avaliação quanto à suficiência e adequabilidade dos papéis de trabalho das auditorias realizadas pela AUDIN.</w:t>
      </w:r>
    </w:p>
    <w:p>
      <w:pPr>
        <w:pStyle w:val="Standard"/>
        <w:jc w:val="both"/>
        <w:rPr>
          <w:rFonts w:cs="Times New Roman"/>
        </w:rPr>
      </w:pPr>
      <w:r>
        <w:rPr>
          <w:rFonts w:cs="Times New Roman"/>
        </w:rPr>
      </w:r>
    </w:p>
    <w:p>
      <w:pPr>
        <w:pStyle w:val="Standard"/>
        <w:jc w:val="both"/>
        <w:rPr>
          <w:rFonts w:cs="Times New Roman"/>
        </w:rPr>
      </w:pPr>
      <w:r>
        <w:rPr>
          <w:rFonts w:cs="Times New Roman"/>
        </w:rPr>
        <w:t xml:space="preserve">Observou-se apenas o arquivamento dos papéis de trabalho dos Pareceres de Auditoria nºs 02/2015 e 03/2015, emitidos para atendimento de solicitação da Diretoria de Auditoria da Área Social da CGU com relação às denúncias de favorecimento em contratação de profissionais para atuação no Programa de Educação à Distância e Tecnologia – UEADTec. </w:t>
      </w:r>
    </w:p>
    <w:p>
      <w:pPr>
        <w:pStyle w:val="Normal"/>
        <w:spacing w:beforeAutospacing="1" w:after="200"/>
        <w:jc w:val="both"/>
        <w:rPr>
          <w:rFonts w:eastAsia="Times New Roman"/>
          <w:lang w:eastAsia="pt-BR"/>
        </w:rPr>
      </w:pPr>
      <w:r>
        <w:rPr/>
        <w:t xml:space="preserve">Apesar dos auditores terem informados que realizaram </w:t>
      </w:r>
      <w:r>
        <w:rPr>
          <w:rFonts w:eastAsia="Times New Roman"/>
          <w:lang w:eastAsia="pt-BR"/>
        </w:rPr>
        <w:t xml:space="preserve">consulta ao SIMEC e ao SIAFI para verificar a confiabilidade e fidedignidade da informação contida no Relatório de Gestão de 2014, tais consultas não haviam sido arquivadas (em papel ou digital). </w:t>
      </w:r>
    </w:p>
    <w:p>
      <w:pPr>
        <w:pStyle w:val="Standard"/>
        <w:jc w:val="both"/>
        <w:rPr>
          <w:rFonts w:eastAsia="Times New Roman" w:cs="Times New Roman"/>
          <w:i/>
          <w:i/>
          <w:lang w:eastAsia="pt-BR" w:bidi="ar-SA"/>
        </w:rPr>
      </w:pPr>
      <w:r>
        <w:rPr>
          <w:rFonts w:cs="Times New Roman"/>
        </w:rPr>
        <w:t xml:space="preserve">Com relação ao escopo, foi informado que o escopo definido foi de </w:t>
      </w:r>
      <w:r>
        <w:rPr>
          <w:rFonts w:eastAsia="Times New Roman" w:cs="Times New Roman"/>
          <w:lang w:eastAsia="pt-BR" w:bidi="ar-SA"/>
        </w:rPr>
        <w:t>100% dos programas e ações da UFRPE, não cabendo aplicar os critérios da materialidade, relevância e criticidade pretérita para definição de escopo e amostra.  No que se refere ao levantamento apenas dos valores financeiros e físicos registrados no Relatório de Gestão, concorda-se com a auditoria, contudo para verificação de alguns itens proposto no programa de auditoria, como, por exemplo, avaliar os Indicadores de Desempenho da UFRPE, conforme DN TCU n.º 408/2002 ou verificar a classificação das receitas e despesas de acordo com o orçamento, ter como escopo a integralidade da amostra demanda muito tempo de análise. Ressaltamos que essa ação de auditoria extrapolou em mais de 2,6 vezes o tempo inicialmente previsto.</w:t>
      </w:r>
      <w:r>
        <w:rPr>
          <w:rFonts w:eastAsia="Times New Roman" w:cs="Times New Roman"/>
          <w:lang w:eastAsia="pt-BR"/>
        </w:rPr>
        <w:t xml:space="preserve"> </w:t>
      </w:r>
    </w:p>
    <w:p>
      <w:pPr>
        <w:pStyle w:val="Normal"/>
        <w:spacing w:lineRule="auto" w:line="240" w:beforeAutospacing="1" w:afterAutospacing="1"/>
        <w:contextualSpacing/>
        <w:jc w:val="both"/>
        <w:rPr>
          <w:color w:val="FFFFFF" w:themeColor="background1"/>
          <w:spacing w:val="0"/>
          <w:sz w:val="2"/>
          <w:szCs w:val="2"/>
        </w:rPr>
      </w:pPr>
      <w:r>
        <w:rPr/>
        <w:t xml:space="preserve"> </w:t>
      </w:r>
      <w:r>
        <w:rPr>
          <w:color w:val="FFFFFF" w:themeColor="background1"/>
          <w:spacing w:val="0"/>
          <w:sz w:val="2"/>
          <w:szCs w:val="2"/>
        </w:rPr>
        <w:t>##/AnaliseControleInterno##</w:t>
      </w:r>
    </w:p>
    <w:p>
      <w:pPr>
        <w:pStyle w:val="Normal"/>
        <w:spacing w:lineRule="auto" w:line="240" w:before="0" w:after="0"/>
        <w:jc w:val="both"/>
        <w:rPr>
          <w:b/>
          <w:b/>
        </w:rPr>
      </w:pPr>
      <w:r>
        <w:rPr>
          <w:b/>
        </w:rPr>
        <w:t>Recomendações:</w:t>
      </w:r>
    </w:p>
    <w:p>
      <w:pPr>
        <w:pStyle w:val="Normal"/>
        <w:spacing w:lineRule="auto" w:line="240" w:before="0" w:after="0"/>
        <w:jc w:val="both"/>
        <w:rPr/>
      </w:pPr>
      <w:r>
        <w:rPr/>
        <w:t>Recomendação 1: Proceder ao arquivamento (físico ou digital) do levantamento de dados constantes dos sistemas corporativos (contábeis, de controle interno e finalísticos) realizados, quando os mesmos forem considerados para o planejamento da auditoria.</w:t>
      </w:r>
    </w:p>
    <w:p>
      <w:pPr>
        <w:pStyle w:val="Normal"/>
        <w:spacing w:lineRule="auto" w:line="240" w:before="0" w:after="0"/>
        <w:jc w:val="both"/>
        <w:rPr/>
      </w:pPr>
      <w:r>
        <w:rPr/>
      </w:r>
    </w:p>
    <w:p>
      <w:pPr>
        <w:pStyle w:val="Normal"/>
        <w:spacing w:lineRule="auto" w:line="240" w:before="0" w:after="0"/>
        <w:jc w:val="both"/>
        <w:rPr/>
      </w:pPr>
      <w:r>
        <w:rPr/>
        <w:t xml:space="preserve">Recomendação 2: Utilizar critérios para definição do escopo dos trabalhos, considerando para tanto a extensão (ampli-tude) e profundidade (grau de detalhamento), bem como verificando as questões de materialidade, criticidade e relevância das áreas e/ou dos processos selecionados para exame, adequando a defini-ção do escopo ao prazo previsto para a realização da ação. </w:t>
      </w:r>
    </w:p>
    <w:p>
      <w:pPr>
        <w:pStyle w:val="Normal"/>
        <w:spacing w:lineRule="auto" w:line="240" w:before="0" w:after="0"/>
        <w:jc w:val="both"/>
        <w:rPr/>
      </w:pPr>
      <w:r>
        <w:rPr/>
      </w:r>
    </w:p>
    <w:p>
      <w:pPr>
        <w:pStyle w:val="Normal"/>
        <w:spacing w:lineRule="auto" w:line="240" w:before="0" w:after="0"/>
        <w:rPr>
          <w:rFonts w:ascii="Arial" w:hAnsi="Arial" w:cs="Arial"/>
          <w:b/>
          <w:b/>
        </w:rPr>
      </w:pPr>
      <w:r>
        <w:rPr>
          <w:b/>
        </w:rPr>
        <w:t>1.1.1.8</w:t>
      </w:r>
      <w:r>
        <w:rPr>
          <w:rFonts w:cs="Arial" w:ascii="Arial" w:hAnsi="Arial"/>
          <w:b/>
        </w:rPr>
        <w:t xml:space="preserve"> </w:t>
      </w:r>
      <w:r>
        <w:rPr>
          <w:b/>
        </w:rPr>
        <w:t>INFORMAÇÃO</w:t>
      </w:r>
    </w:p>
    <w:p>
      <w:pPr>
        <w:pStyle w:val="Normal"/>
        <w:spacing w:lineRule="auto" w:line="240" w:before="0" w:after="0"/>
        <w:rPr>
          <w:b/>
          <w:b/>
        </w:rPr>
      </w:pPr>
      <w:r>
        <w:rPr>
          <w:b/>
        </w:rPr>
      </w:r>
    </w:p>
    <w:p>
      <w:pPr>
        <w:pStyle w:val="Normal"/>
        <w:spacing w:lineRule="auto" w:line="240" w:before="0" w:after="0"/>
        <w:jc w:val="both"/>
        <w:rPr>
          <w:b/>
          <w:b/>
        </w:rPr>
      </w:pPr>
      <w:r>
        <w:rPr>
          <w:b/>
        </w:rPr>
        <w:t>Monitoramento das recomendações oriundas de órgãos de controle (CGU e TCU).</w:t>
      </w:r>
    </w:p>
    <w:p>
      <w:pPr>
        <w:pStyle w:val="Normal"/>
        <w:spacing w:lineRule="auto" w:line="240" w:before="0" w:after="0"/>
        <w:rPr/>
      </w:pPr>
      <w:r>
        <w:rPr/>
      </w:r>
    </w:p>
    <w:p>
      <w:pPr>
        <w:pStyle w:val="Normal"/>
        <w:spacing w:lineRule="auto" w:line="240" w:before="0" w:after="0"/>
        <w:rPr>
          <w:rFonts w:ascii="Arial" w:hAnsi="Arial" w:cs="Arial"/>
          <w:b/>
          <w:b/>
        </w:rPr>
      </w:pPr>
      <w:r>
        <w:rPr>
          <w:b/>
        </w:rPr>
        <w:t>Fato</w:t>
      </w:r>
    </w:p>
    <w:p>
      <w:pPr>
        <w:pStyle w:val="Normal"/>
        <w:spacing w:lineRule="auto" w:line="240" w:before="0" w:after="0"/>
        <w:rPr>
          <w:b/>
          <w:b/>
        </w:rPr>
      </w:pPr>
      <w:r>
        <w:rPr>
          <w:b/>
        </w:rPr>
      </w:r>
    </w:p>
    <w:p>
      <w:pPr>
        <w:pStyle w:val="Normal"/>
        <w:jc w:val="both"/>
        <w:rPr/>
      </w:pPr>
      <w:r>
        <w:rPr/>
        <w:t>A partir do detalhamento da rotina de monitoramento realizado pela AUDIN da UFRPE, encaminhado mediante o Ofício nº 12/2015-AUDIN, de 13 de outubro de 2015, acerca do implemento, pelas diversas unidades da IFES, de recomendações oriunda de órgãos de controle (CGU e TCU), verifica-se a adequação dessa rotina adotada pela unidade de controle da Universidade para acompanhamento dessas recomendações.</w:t>
      </w:r>
    </w:p>
    <w:p>
      <w:pPr>
        <w:pStyle w:val="Normal"/>
        <w:jc w:val="both"/>
        <w:rPr/>
      </w:pPr>
      <w:r>
        <w:rPr/>
      </w:r>
    </w:p>
    <w:p>
      <w:pPr>
        <w:pStyle w:val="TITULO2"/>
        <w:spacing w:lineRule="atLeast" w:line="100" w:before="0" w:after="0"/>
        <w:ind w:left="0" w:hanging="0"/>
        <w:rPr/>
      </w:pPr>
      <w:r>
        <w:rPr/>
        <w:t>“</w:t>
      </w:r>
      <w:r>
        <w:rPr>
          <w:rFonts w:eastAsia="Calibri" w:cs="Times New Roman"/>
          <w:b w:val="false"/>
          <w:bCs w:val="false"/>
          <w:i/>
          <w:color w:val="00000A"/>
        </w:rPr>
        <w:t>Em relação à rotina de acompanhamento das recomendações oriundas da CGU e do TCU, informamos o seguinte: Após recebimento e conhecimento da Magnífica Reitora da UFRPE dos Relatórios, Notas Técnicas e/ou Notas de Auditoria expedidos pela CGU e dos Acórdãos emitidos pelo TCU, a chefe do Gabinete da Reitoria encaminha os mencionados documentos para a unidade de Auditoria Interna, objetivando o encaminhamento dos documentos e do Plano de Providências Permanente aos setores da UFRPE responsáveis pela adoção de providências, com o seguinte fluxo: 1º- envio dos Relatórios, Acórdãos, Notas Técnicas e Notas de Auditoria junto com o Plano de Providências Permanente aos setores responsáveis pela implementação das Recomendações expedidas pela CGU e Determinações exaradas pelo TCU (via Processo Administrativo e e-mail); 2º- Recebimento pela AUDIN no prazo de até 30 dias (contados do envio do documento pelo órgão de controle) das ações a serem implementadas pelo setor, visando o cumprimento da recomendação da CGU ou justificativa pelo seu não cumprimento (Plano de Providências Permanente). Em relação às determinações do TCU, a AUDIN monitora o prazo concedido no Acórdão; 3º – Envio pela AUDIN das providências adotadas pela gestão da UFRPE à CGU e ao TCU.</w:t>
      </w:r>
      <w:r>
        <w:rPr>
          <w:rFonts w:eastAsia="Calibri" w:cs="Times New Roman"/>
          <w:b w:val="false"/>
          <w:bCs w:val="false"/>
          <w:color w:val="00000A"/>
        </w:rPr>
        <w:t>”</w:t>
      </w:r>
    </w:p>
    <w:p>
      <w:pPr>
        <w:pStyle w:val="Normal"/>
        <w:spacing w:lineRule="auto" w:line="240" w:beforeAutospacing="1" w:afterAutospacing="1"/>
        <w:contextualSpacing/>
        <w:jc w:val="both"/>
        <w:rPr>
          <w:color w:val="FFFFFF" w:themeColor="background1"/>
          <w:spacing w:val="0"/>
          <w:sz w:val="2"/>
          <w:szCs w:val="2"/>
        </w:rPr>
      </w:pPr>
      <w:r>
        <w:rPr/>
        <w:t xml:space="preserve"> </w:t>
      </w:r>
      <w:r>
        <w:rPr>
          <w:color w:val="FFFFFF" w:themeColor="background1"/>
          <w:spacing w:val="0"/>
          <w:sz w:val="2"/>
          <w:szCs w:val="2"/>
        </w:rPr>
        <w:t>##/Fato##</w:t>
      </w:r>
    </w:p>
    <w:p>
      <w:pPr>
        <w:pStyle w:val="Normal"/>
        <w:spacing w:lineRule="auto" w:line="240" w:before="0" w:after="0"/>
        <w:rPr>
          <w:rFonts w:ascii="Arial" w:hAnsi="Arial" w:cs="Arial"/>
          <w:b/>
          <w:b/>
        </w:rPr>
      </w:pPr>
      <w:r>
        <w:rPr>
          <w:b/>
        </w:rPr>
        <w:t>1.1.1.9</w:t>
      </w:r>
      <w:r>
        <w:rPr>
          <w:rFonts w:cs="Arial" w:ascii="Arial" w:hAnsi="Arial"/>
          <w:b/>
        </w:rPr>
        <w:t xml:space="preserve"> </w:t>
      </w:r>
      <w:r>
        <w:rPr>
          <w:b/>
        </w:rPr>
        <w:t>CONSTATAÇÃO</w:t>
      </w:r>
    </w:p>
    <w:p>
      <w:pPr>
        <w:pStyle w:val="Normal"/>
        <w:spacing w:lineRule="auto" w:line="240" w:before="0" w:after="0"/>
        <w:rPr>
          <w:b/>
          <w:b/>
        </w:rPr>
      </w:pPr>
      <w:r>
        <w:rPr>
          <w:b/>
        </w:rPr>
      </w:r>
    </w:p>
    <w:p>
      <w:pPr>
        <w:pStyle w:val="Normal"/>
        <w:spacing w:lineRule="auto" w:line="240" w:before="0" w:after="0"/>
        <w:jc w:val="both"/>
        <w:rPr>
          <w:b/>
          <w:b/>
        </w:rPr>
      </w:pPr>
      <w:r>
        <w:rPr>
          <w:b/>
        </w:rPr>
        <w:t>Morosidade na adoção de providência para cumprimento das recomendações do órgão de controle.</w:t>
      </w:r>
    </w:p>
    <w:p>
      <w:pPr>
        <w:pStyle w:val="Normal"/>
        <w:spacing w:lineRule="auto" w:line="240" w:before="0" w:after="0"/>
        <w:rPr/>
      </w:pPr>
      <w:r>
        <w:rPr/>
      </w:r>
    </w:p>
    <w:p>
      <w:pPr>
        <w:pStyle w:val="Normal"/>
        <w:spacing w:lineRule="auto" w:line="240" w:before="0" w:after="0"/>
        <w:rPr>
          <w:rFonts w:ascii="Arial" w:hAnsi="Arial" w:cs="Arial"/>
          <w:b/>
          <w:b/>
        </w:rPr>
      </w:pPr>
      <w:r>
        <w:rPr>
          <w:b/>
        </w:rPr>
        <w:t>Fato</w:t>
      </w:r>
    </w:p>
    <w:p>
      <w:pPr>
        <w:pStyle w:val="Normal"/>
        <w:spacing w:lineRule="auto" w:line="240" w:before="0" w:after="0"/>
        <w:rPr>
          <w:b/>
          <w:b/>
        </w:rPr>
      </w:pPr>
      <w:r>
        <w:rPr>
          <w:b/>
        </w:rPr>
      </w:r>
    </w:p>
    <w:p>
      <w:pPr>
        <w:pStyle w:val="Normal"/>
        <w:jc w:val="both"/>
        <w:rPr>
          <w:lang w:eastAsia="pt-BR"/>
        </w:rPr>
      </w:pPr>
      <w:r>
        <w:rPr>
          <w:lang w:eastAsia="pt-BR"/>
        </w:rPr>
        <w:t xml:space="preserve">Na verificação do grau de atendimento às recomendações da AUDIN, constatou-se que não vem sendo dado tratamento adequado e tempestivo aos relatórios elaborados pela unidade de controle interno da UFRPE por parte dos gestores da instituição, conforme demonstrado no quadro a seguir. </w:t>
      </w:r>
    </w:p>
    <w:tbl>
      <w:tblPr>
        <w:tblW w:w="8589" w:type="dxa"/>
        <w:jc w:val="left"/>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70" w:type="dxa"/>
          <w:bottom w:w="0" w:type="dxa"/>
          <w:right w:w="70" w:type="dxa"/>
        </w:tblCellMar>
        <w:tblLook w:noVBand="1" w:val="04a0" w:noHBand="0" w:lastColumn="0" w:firstColumn="1" w:lastRow="0" w:firstRow="1"/>
      </w:tblPr>
      <w:tblGrid>
        <w:gridCol w:w="6960"/>
        <w:gridCol w:w="709"/>
        <w:gridCol w:w="920"/>
      </w:tblGrid>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70" w:type="dxa"/>
            </w:tcMar>
            <w:vAlign w:val="bottom"/>
          </w:tcPr>
          <w:p>
            <w:pPr>
              <w:pStyle w:val="Normal"/>
              <w:jc w:val="center"/>
              <w:rPr>
                <w:rFonts w:eastAsia="Times New Roman"/>
                <w:b/>
                <w:b/>
                <w:bCs/>
                <w:color w:val="000000"/>
                <w:sz w:val="20"/>
                <w:szCs w:val="20"/>
                <w:lang w:eastAsia="pt-BR"/>
              </w:rPr>
            </w:pPr>
            <w:r>
              <w:rPr>
                <w:rFonts w:eastAsia="Times New Roman"/>
                <w:b/>
                <w:bCs/>
                <w:color w:val="000000"/>
                <w:sz w:val="20"/>
                <w:szCs w:val="20"/>
                <w:lang w:eastAsia="pt-BR"/>
              </w:rPr>
              <w:t>Recomendações de exercícios anteriores</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70" w:type="dxa"/>
            </w:tcMar>
            <w:vAlign w:val="bottom"/>
          </w:tcPr>
          <w:p>
            <w:pPr>
              <w:pStyle w:val="Normal"/>
              <w:jc w:val="center"/>
              <w:rPr>
                <w:rFonts w:eastAsia="Times New Roman"/>
                <w:color w:val="000000"/>
                <w:sz w:val="20"/>
                <w:szCs w:val="20"/>
                <w:lang w:eastAsia="pt-BR"/>
              </w:rPr>
            </w:pPr>
            <w:r>
              <w:rPr>
                <w:rFonts w:eastAsia="Times New Roman"/>
                <w:color w:val="000000"/>
                <w:sz w:val="20"/>
                <w:szCs w:val="20"/>
                <w:lang w:eastAsia="pt-BR"/>
              </w:rPr>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70" w:type="dxa"/>
            </w:tcMar>
            <w:vAlign w:val="bottom"/>
          </w:tcPr>
          <w:p>
            <w:pPr>
              <w:pStyle w:val="Normal"/>
              <w:jc w:val="center"/>
              <w:rPr>
                <w:rFonts w:eastAsia="Times New Roman"/>
                <w:b/>
                <w:b/>
                <w:bCs/>
                <w:color w:val="000000"/>
                <w:sz w:val="20"/>
                <w:szCs w:val="20"/>
                <w:lang w:eastAsia="pt-BR"/>
              </w:rPr>
            </w:pPr>
            <w:r>
              <w:rPr>
                <w:rFonts w:eastAsia="Times New Roman"/>
                <w:b/>
                <w:bCs/>
                <w:color w:val="000000"/>
                <w:sz w:val="20"/>
                <w:szCs w:val="20"/>
                <w:lang w:eastAsia="pt-BR"/>
              </w:rPr>
              <w:t xml:space="preserve">% </w:t>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70" w:type="dxa"/>
            </w:tcMar>
            <w:vAlign w:val="bottom"/>
          </w:tcPr>
          <w:p>
            <w:pPr>
              <w:pStyle w:val="Normal"/>
              <w:jc w:val="center"/>
              <w:rPr>
                <w:rFonts w:eastAsia="Times New Roman"/>
                <w:b/>
                <w:b/>
                <w:bCs/>
                <w:color w:val="000000"/>
                <w:sz w:val="20"/>
                <w:szCs w:val="20"/>
                <w:lang w:eastAsia="pt-BR"/>
              </w:rPr>
            </w:pPr>
            <w:r>
              <w:rPr>
                <w:rFonts w:eastAsia="Times New Roman"/>
                <w:b/>
                <w:bCs/>
                <w:color w:val="000000"/>
                <w:sz w:val="20"/>
                <w:szCs w:val="20"/>
                <w:lang w:eastAsia="pt-BR"/>
              </w:rPr>
              <w:t>Recomendações do exercício de 2011</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70" w:type="dxa"/>
            </w:tcMar>
            <w:vAlign w:val="bottom"/>
          </w:tcPr>
          <w:p>
            <w:pPr>
              <w:pStyle w:val="Normal"/>
              <w:jc w:val="center"/>
              <w:rPr>
                <w:rFonts w:eastAsia="Times New Roman"/>
                <w:b/>
                <w:b/>
                <w:bCs/>
                <w:color w:val="000000"/>
                <w:sz w:val="20"/>
                <w:szCs w:val="20"/>
                <w:lang w:eastAsia="pt-BR"/>
              </w:rPr>
            </w:pPr>
            <w:r>
              <w:rPr>
                <w:rFonts w:eastAsia="Times New Roman"/>
                <w:b/>
                <w:bCs/>
                <w:color w:val="000000"/>
                <w:sz w:val="20"/>
                <w:szCs w:val="20"/>
                <w:lang w:eastAsia="pt-BR"/>
              </w:rPr>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70" w:type="dxa"/>
            </w:tcMar>
            <w:vAlign w:val="bottom"/>
          </w:tcPr>
          <w:p>
            <w:pPr>
              <w:pStyle w:val="Normal"/>
              <w:jc w:val="center"/>
              <w:rPr>
                <w:rFonts w:eastAsia="Times New Roman"/>
                <w:color w:val="000000"/>
                <w:sz w:val="20"/>
                <w:szCs w:val="20"/>
                <w:lang w:eastAsia="pt-BR"/>
              </w:rPr>
            </w:pPr>
            <w:r>
              <w:rPr>
                <w:rFonts w:eastAsia="Times New Roman"/>
                <w:color w:val="000000"/>
                <w:sz w:val="20"/>
                <w:szCs w:val="20"/>
                <w:lang w:eastAsia="pt-BR"/>
              </w:rPr>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1"/>
              <w:rPr>
                <w:rFonts w:eastAsia="Times New Roman"/>
                <w:b/>
                <w:b/>
                <w:color w:val="000000"/>
                <w:sz w:val="20"/>
                <w:szCs w:val="20"/>
                <w:lang w:eastAsia="pt-BR"/>
              </w:rPr>
            </w:pPr>
            <w:r>
              <w:rPr>
                <w:rFonts w:eastAsia="Times New Roman"/>
                <w:b/>
                <w:color w:val="000000"/>
                <w:sz w:val="20"/>
                <w:szCs w:val="20"/>
                <w:lang w:eastAsia="pt-BR"/>
              </w:rPr>
              <w:t>NÃO IMPLEMENTADA/ REITERADA PELA NÃO IMPLEMENTAÇÃO PLENA</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b/>
                <w:b/>
                <w:color w:val="000000"/>
                <w:sz w:val="20"/>
                <w:szCs w:val="20"/>
                <w:lang w:eastAsia="pt-BR"/>
              </w:rPr>
            </w:pPr>
            <w:r>
              <w:rPr>
                <w:rFonts w:eastAsia="Times New Roman"/>
                <w:b/>
                <w:color w:val="000000"/>
                <w:sz w:val="20"/>
                <w:szCs w:val="20"/>
                <w:lang w:eastAsia="pt-BR"/>
              </w:rPr>
              <w:t>141</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b/>
                <w:b/>
                <w:bCs/>
                <w:color w:val="000000"/>
                <w:sz w:val="20"/>
                <w:szCs w:val="20"/>
                <w:lang w:eastAsia="pt-BR"/>
              </w:rPr>
            </w:pPr>
            <w:r>
              <w:rPr>
                <w:rFonts w:eastAsia="Times New Roman"/>
                <w:b/>
                <w:bCs/>
                <w:color w:val="000000"/>
                <w:sz w:val="20"/>
                <w:szCs w:val="20"/>
                <w:lang w:eastAsia="pt-BR"/>
              </w:rPr>
              <w:t>67,79</w:t>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0"/>
              <w:rPr>
                <w:rFonts w:eastAsia="Times New Roman"/>
                <w:color w:val="000000"/>
                <w:sz w:val="20"/>
                <w:szCs w:val="20"/>
                <w:lang w:eastAsia="pt-BR"/>
              </w:rPr>
            </w:pPr>
            <w:r>
              <w:rPr>
                <w:rFonts w:eastAsia="Times New Roman"/>
                <w:color w:val="000000"/>
                <w:sz w:val="20"/>
                <w:szCs w:val="20"/>
                <w:lang w:eastAsia="pt-BR"/>
              </w:rPr>
              <w:t>IMPLEMENTADA</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43</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20,67</w:t>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0"/>
              <w:rPr>
                <w:rFonts w:eastAsia="Times New Roman"/>
                <w:color w:val="000000"/>
                <w:sz w:val="20"/>
                <w:szCs w:val="20"/>
                <w:lang w:eastAsia="pt-BR"/>
              </w:rPr>
            </w:pPr>
            <w:r>
              <w:rPr>
                <w:rFonts w:eastAsia="Times New Roman"/>
                <w:color w:val="000000"/>
                <w:sz w:val="20"/>
                <w:szCs w:val="20"/>
                <w:lang w:eastAsia="pt-BR"/>
              </w:rPr>
              <w:t>RECOMENDAÇÃO CANCELADA</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10</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4,81</w:t>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0"/>
              <w:rPr>
                <w:rFonts w:eastAsia="Times New Roman"/>
                <w:color w:val="000000"/>
                <w:sz w:val="20"/>
                <w:szCs w:val="20"/>
                <w:lang w:eastAsia="pt-BR"/>
              </w:rPr>
            </w:pPr>
            <w:r>
              <w:rPr>
                <w:rFonts w:eastAsia="Times New Roman"/>
                <w:color w:val="000000"/>
                <w:sz w:val="20"/>
                <w:szCs w:val="20"/>
                <w:lang w:eastAsia="pt-BR"/>
              </w:rPr>
              <w:t>MONITORAMENTO ENCERRADO</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9</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4,33</w:t>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0"/>
              <w:rPr>
                <w:rFonts w:eastAsia="Times New Roman"/>
                <w:color w:val="000000"/>
                <w:sz w:val="20"/>
                <w:szCs w:val="20"/>
                <w:lang w:eastAsia="pt-BR"/>
              </w:rPr>
            </w:pPr>
            <w:r>
              <w:rPr>
                <w:rFonts w:eastAsia="Times New Roman"/>
                <w:color w:val="000000"/>
                <w:sz w:val="20"/>
                <w:szCs w:val="20"/>
                <w:lang w:eastAsia="pt-BR"/>
              </w:rPr>
              <w:t>NÃO IMPLEMENTADA/ PRORROGAÇÃO DE PRAZO</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3</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1,44</w:t>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0"/>
              <w:rPr>
                <w:rFonts w:eastAsia="Times New Roman"/>
                <w:color w:val="000000"/>
                <w:sz w:val="20"/>
                <w:szCs w:val="20"/>
                <w:lang w:eastAsia="pt-BR"/>
              </w:rPr>
            </w:pPr>
            <w:r>
              <w:rPr>
                <w:rFonts w:eastAsia="Times New Roman"/>
                <w:color w:val="000000"/>
                <w:sz w:val="20"/>
                <w:szCs w:val="20"/>
                <w:lang w:eastAsia="pt-BR"/>
              </w:rPr>
              <w:t>AGUARDAR AÇÃO DE CONTROLE</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1</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0,48</w:t>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0"/>
              <w:rPr>
                <w:rFonts w:eastAsia="Times New Roman"/>
                <w:color w:val="000000"/>
                <w:sz w:val="20"/>
                <w:szCs w:val="20"/>
                <w:lang w:eastAsia="pt-BR"/>
              </w:rPr>
            </w:pPr>
            <w:r>
              <w:rPr>
                <w:rFonts w:eastAsia="Times New Roman"/>
                <w:color w:val="000000"/>
                <w:sz w:val="20"/>
                <w:szCs w:val="20"/>
                <w:lang w:eastAsia="pt-BR"/>
              </w:rPr>
              <w:t>NÃO IMPLEMENTADA/ REITERADA POR RECUSA NÃO ACEITA</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1</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0,48</w:t>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1"/>
              <w:rPr>
                <w:rFonts w:eastAsia="Times New Roman"/>
                <w:b/>
                <w:b/>
                <w:color w:val="000000"/>
                <w:sz w:val="20"/>
                <w:szCs w:val="20"/>
                <w:lang w:eastAsia="pt-BR"/>
              </w:rPr>
            </w:pPr>
            <w:r>
              <w:rPr>
                <w:rFonts w:eastAsia="Times New Roman"/>
                <w:b/>
                <w:color w:val="000000"/>
                <w:sz w:val="20"/>
                <w:szCs w:val="20"/>
                <w:lang w:eastAsia="pt-BR"/>
              </w:rPr>
              <w:t>TOTAL 2011</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center"/>
              <w:rPr>
                <w:rFonts w:eastAsia="Times New Roman"/>
                <w:b/>
                <w:b/>
                <w:color w:val="000000"/>
                <w:sz w:val="20"/>
                <w:szCs w:val="20"/>
                <w:lang w:eastAsia="pt-BR"/>
              </w:rPr>
            </w:pPr>
            <w:r>
              <w:rPr>
                <w:rFonts w:eastAsia="Times New Roman"/>
                <w:b/>
                <w:bCs/>
                <w:color w:val="000000"/>
                <w:sz w:val="20"/>
                <w:szCs w:val="20"/>
                <w:lang w:eastAsia="pt-BR"/>
              </w:rPr>
              <w:t>208</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rPr>
                <w:rFonts w:eastAsia="Times New Roman"/>
                <w:b/>
                <w:b/>
                <w:color w:val="000000"/>
                <w:sz w:val="20"/>
                <w:szCs w:val="20"/>
                <w:lang w:eastAsia="pt-BR"/>
              </w:rPr>
            </w:pPr>
            <w:r>
              <w:rPr>
                <w:rFonts w:eastAsia="Times New Roman"/>
                <w:b/>
                <w:color w:val="000000"/>
                <w:sz w:val="20"/>
                <w:szCs w:val="20"/>
                <w:lang w:eastAsia="pt-BR"/>
              </w:rPr>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70" w:type="dxa"/>
            </w:tcMar>
            <w:vAlign w:val="bottom"/>
          </w:tcPr>
          <w:p>
            <w:pPr>
              <w:pStyle w:val="Normal"/>
              <w:jc w:val="center"/>
              <w:rPr>
                <w:rFonts w:eastAsia="Times New Roman"/>
                <w:b/>
                <w:b/>
                <w:bCs/>
                <w:color w:val="000000"/>
                <w:sz w:val="20"/>
                <w:szCs w:val="20"/>
                <w:lang w:eastAsia="pt-BR"/>
              </w:rPr>
            </w:pPr>
            <w:r>
              <w:rPr>
                <w:rFonts w:eastAsia="Times New Roman"/>
                <w:b/>
                <w:bCs/>
                <w:color w:val="000000"/>
                <w:sz w:val="20"/>
                <w:szCs w:val="20"/>
                <w:lang w:eastAsia="pt-BR"/>
              </w:rPr>
              <w:t>Recomendações do exercício de 2012</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70" w:type="dxa"/>
            </w:tcMar>
            <w:vAlign w:val="bottom"/>
          </w:tcPr>
          <w:p>
            <w:pPr>
              <w:pStyle w:val="Normal"/>
              <w:jc w:val="center"/>
              <w:rPr>
                <w:rFonts w:eastAsia="Times New Roman"/>
                <w:b/>
                <w:b/>
                <w:bCs/>
                <w:color w:val="000000"/>
                <w:sz w:val="20"/>
                <w:szCs w:val="20"/>
                <w:lang w:eastAsia="pt-BR"/>
              </w:rPr>
            </w:pPr>
            <w:r>
              <w:rPr>
                <w:rFonts w:eastAsia="Times New Roman"/>
                <w:b/>
                <w:bCs/>
                <w:color w:val="000000"/>
                <w:sz w:val="20"/>
                <w:szCs w:val="20"/>
                <w:lang w:eastAsia="pt-BR"/>
              </w:rPr>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70" w:type="dxa"/>
            </w:tcMar>
            <w:vAlign w:val="bottom"/>
          </w:tcPr>
          <w:p>
            <w:pPr>
              <w:pStyle w:val="Normal"/>
              <w:jc w:val="center"/>
              <w:rPr>
                <w:rFonts w:eastAsia="Times New Roman"/>
                <w:color w:val="000000"/>
                <w:sz w:val="20"/>
                <w:szCs w:val="20"/>
                <w:lang w:eastAsia="pt-BR"/>
              </w:rPr>
            </w:pPr>
            <w:r>
              <w:rPr>
                <w:rFonts w:eastAsia="Times New Roman"/>
                <w:color w:val="000000"/>
                <w:sz w:val="20"/>
                <w:szCs w:val="20"/>
                <w:lang w:eastAsia="pt-BR"/>
              </w:rPr>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1"/>
              <w:rPr>
                <w:rFonts w:eastAsia="Times New Roman"/>
                <w:b/>
                <w:b/>
                <w:color w:val="000000"/>
                <w:sz w:val="20"/>
                <w:szCs w:val="20"/>
                <w:lang w:eastAsia="pt-BR"/>
              </w:rPr>
            </w:pPr>
            <w:r>
              <w:rPr>
                <w:rFonts w:eastAsia="Times New Roman"/>
                <w:b/>
                <w:color w:val="000000"/>
                <w:sz w:val="20"/>
                <w:szCs w:val="20"/>
                <w:lang w:eastAsia="pt-BR"/>
              </w:rPr>
              <w:t>NÃO IMPLEMENTADA/ REITERADA PELA NÃO IMPLEMENTAÇÃO PLENA</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b/>
                <w:b/>
                <w:color w:val="000000"/>
                <w:sz w:val="20"/>
                <w:szCs w:val="20"/>
                <w:lang w:eastAsia="pt-BR"/>
              </w:rPr>
            </w:pPr>
            <w:r>
              <w:rPr>
                <w:rFonts w:eastAsia="Times New Roman"/>
                <w:b/>
                <w:color w:val="000000"/>
                <w:sz w:val="20"/>
                <w:szCs w:val="20"/>
                <w:lang w:eastAsia="pt-BR"/>
              </w:rPr>
              <w:t>71</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b/>
                <w:b/>
                <w:bCs/>
                <w:color w:val="000000"/>
                <w:sz w:val="20"/>
                <w:szCs w:val="20"/>
                <w:lang w:eastAsia="pt-BR"/>
              </w:rPr>
            </w:pPr>
            <w:r>
              <w:rPr>
                <w:rFonts w:eastAsia="Times New Roman"/>
                <w:b/>
                <w:bCs/>
                <w:color w:val="000000"/>
                <w:sz w:val="20"/>
                <w:szCs w:val="20"/>
                <w:lang w:eastAsia="pt-BR"/>
              </w:rPr>
              <w:t>74,74</w:t>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0"/>
              <w:rPr>
                <w:rFonts w:eastAsia="Times New Roman"/>
                <w:color w:val="000000"/>
                <w:sz w:val="20"/>
                <w:szCs w:val="20"/>
                <w:lang w:eastAsia="pt-BR"/>
              </w:rPr>
            </w:pPr>
            <w:r>
              <w:rPr>
                <w:rFonts w:eastAsia="Times New Roman"/>
                <w:color w:val="000000"/>
                <w:sz w:val="20"/>
                <w:szCs w:val="20"/>
                <w:lang w:eastAsia="pt-BR"/>
              </w:rPr>
              <w:t>AGUARDAR AÇÃO DE CONTROLE</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12</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12,63</w:t>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0"/>
              <w:rPr>
                <w:rFonts w:eastAsia="Times New Roman"/>
                <w:color w:val="000000"/>
                <w:sz w:val="20"/>
                <w:szCs w:val="20"/>
                <w:lang w:eastAsia="pt-BR"/>
              </w:rPr>
            </w:pPr>
            <w:r>
              <w:rPr>
                <w:rFonts w:eastAsia="Times New Roman"/>
                <w:color w:val="000000"/>
                <w:sz w:val="20"/>
                <w:szCs w:val="20"/>
                <w:lang w:eastAsia="pt-BR"/>
              </w:rPr>
              <w:t>IMPLEMENTADA</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8</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8,42</w:t>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0"/>
              <w:rPr>
                <w:rFonts w:eastAsia="Times New Roman"/>
                <w:color w:val="000000"/>
                <w:sz w:val="20"/>
                <w:szCs w:val="20"/>
                <w:lang w:eastAsia="pt-BR"/>
              </w:rPr>
            </w:pPr>
            <w:r>
              <w:rPr>
                <w:rFonts w:eastAsia="Times New Roman"/>
                <w:color w:val="000000"/>
                <w:sz w:val="20"/>
                <w:szCs w:val="20"/>
                <w:lang w:eastAsia="pt-BR"/>
              </w:rPr>
              <w:t>RECUSA ACEITA</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2</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2,11</w:t>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0"/>
              <w:rPr>
                <w:rFonts w:eastAsia="Times New Roman"/>
                <w:color w:val="000000"/>
                <w:sz w:val="20"/>
                <w:szCs w:val="20"/>
                <w:lang w:eastAsia="pt-BR"/>
              </w:rPr>
            </w:pPr>
            <w:r>
              <w:rPr>
                <w:rFonts w:eastAsia="Times New Roman"/>
                <w:color w:val="000000"/>
                <w:sz w:val="20"/>
                <w:szCs w:val="20"/>
                <w:lang w:eastAsia="pt-BR"/>
              </w:rPr>
              <w:t>MONITORAMENTO ENCERRADO</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1</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1,05</w:t>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0"/>
              <w:rPr>
                <w:rFonts w:eastAsia="Times New Roman"/>
                <w:color w:val="000000"/>
                <w:sz w:val="20"/>
                <w:szCs w:val="20"/>
                <w:lang w:eastAsia="pt-BR"/>
              </w:rPr>
            </w:pPr>
            <w:r>
              <w:rPr>
                <w:rFonts w:eastAsia="Times New Roman"/>
                <w:color w:val="000000"/>
                <w:sz w:val="20"/>
                <w:szCs w:val="20"/>
                <w:lang w:eastAsia="pt-BR"/>
              </w:rPr>
              <w:t>NÃO IMPLEMENTADA/ REITERADA POR DECURSO DO PRAZO</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1</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1,05</w:t>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1"/>
              <w:rPr>
                <w:rFonts w:eastAsia="Times New Roman"/>
                <w:b/>
                <w:b/>
                <w:color w:val="000000"/>
                <w:sz w:val="20"/>
                <w:szCs w:val="20"/>
                <w:lang w:eastAsia="pt-BR"/>
              </w:rPr>
            </w:pPr>
            <w:r>
              <w:rPr>
                <w:rFonts w:eastAsia="Times New Roman"/>
                <w:b/>
                <w:color w:val="000000"/>
                <w:sz w:val="20"/>
                <w:szCs w:val="20"/>
                <w:lang w:eastAsia="pt-BR"/>
              </w:rPr>
              <w:t>TOTAL 2012</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center"/>
              <w:rPr>
                <w:rFonts w:eastAsia="Times New Roman"/>
                <w:b/>
                <w:b/>
                <w:color w:val="000000"/>
                <w:sz w:val="20"/>
                <w:szCs w:val="20"/>
                <w:lang w:eastAsia="pt-BR"/>
              </w:rPr>
            </w:pPr>
            <w:r>
              <w:rPr>
                <w:rFonts w:eastAsia="Times New Roman"/>
                <w:b/>
                <w:bCs/>
                <w:color w:val="000000"/>
                <w:sz w:val="20"/>
                <w:szCs w:val="20"/>
                <w:lang w:eastAsia="pt-BR"/>
              </w:rPr>
              <w:t>95</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rPr>
                <w:rFonts w:eastAsia="Times New Roman"/>
                <w:b/>
                <w:b/>
                <w:color w:val="000000"/>
                <w:sz w:val="20"/>
                <w:szCs w:val="20"/>
                <w:lang w:eastAsia="pt-BR"/>
              </w:rPr>
            </w:pPr>
            <w:r>
              <w:rPr>
                <w:rFonts w:eastAsia="Times New Roman"/>
                <w:b/>
                <w:color w:val="000000"/>
                <w:sz w:val="20"/>
                <w:szCs w:val="20"/>
                <w:lang w:eastAsia="pt-BR"/>
              </w:rPr>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70" w:type="dxa"/>
            </w:tcMar>
            <w:vAlign w:val="bottom"/>
          </w:tcPr>
          <w:p>
            <w:pPr>
              <w:pStyle w:val="Normal"/>
              <w:jc w:val="center"/>
              <w:rPr>
                <w:rFonts w:eastAsia="Times New Roman"/>
                <w:b/>
                <w:b/>
                <w:bCs/>
                <w:color w:val="000000"/>
                <w:sz w:val="20"/>
                <w:szCs w:val="20"/>
                <w:lang w:eastAsia="pt-BR"/>
              </w:rPr>
            </w:pPr>
            <w:r>
              <w:rPr>
                <w:rFonts w:eastAsia="Times New Roman"/>
                <w:b/>
                <w:bCs/>
                <w:color w:val="000000"/>
                <w:sz w:val="20"/>
                <w:szCs w:val="20"/>
                <w:lang w:eastAsia="pt-BR"/>
              </w:rPr>
              <w:t>Recomendações do exercício de 2013</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70" w:type="dxa"/>
            </w:tcMar>
            <w:vAlign w:val="bottom"/>
          </w:tcPr>
          <w:p>
            <w:pPr>
              <w:pStyle w:val="Normal"/>
              <w:jc w:val="center"/>
              <w:rPr>
                <w:rFonts w:eastAsia="Times New Roman"/>
                <w:b/>
                <w:b/>
                <w:bCs/>
                <w:color w:val="000000"/>
                <w:sz w:val="20"/>
                <w:szCs w:val="20"/>
                <w:lang w:eastAsia="pt-BR"/>
              </w:rPr>
            </w:pPr>
            <w:r>
              <w:rPr>
                <w:rFonts w:eastAsia="Times New Roman"/>
                <w:b/>
                <w:bCs/>
                <w:color w:val="000000"/>
                <w:sz w:val="20"/>
                <w:szCs w:val="20"/>
                <w:lang w:eastAsia="pt-BR"/>
              </w:rPr>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70" w:type="dxa"/>
            </w:tcMar>
            <w:vAlign w:val="bottom"/>
          </w:tcPr>
          <w:p>
            <w:pPr>
              <w:pStyle w:val="Normal"/>
              <w:jc w:val="center"/>
              <w:rPr>
                <w:rFonts w:eastAsia="Times New Roman"/>
                <w:color w:val="000000"/>
                <w:sz w:val="20"/>
                <w:szCs w:val="20"/>
                <w:lang w:eastAsia="pt-BR"/>
              </w:rPr>
            </w:pPr>
            <w:r>
              <w:rPr>
                <w:rFonts w:eastAsia="Times New Roman"/>
                <w:color w:val="000000"/>
                <w:sz w:val="20"/>
                <w:szCs w:val="20"/>
                <w:lang w:eastAsia="pt-BR"/>
              </w:rPr>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1"/>
              <w:rPr>
                <w:rFonts w:eastAsia="Times New Roman"/>
                <w:b/>
                <w:b/>
                <w:color w:val="000000"/>
                <w:sz w:val="20"/>
                <w:szCs w:val="20"/>
                <w:lang w:eastAsia="pt-BR"/>
              </w:rPr>
            </w:pPr>
            <w:r>
              <w:rPr>
                <w:rFonts w:eastAsia="Times New Roman"/>
                <w:b/>
                <w:color w:val="000000"/>
                <w:sz w:val="20"/>
                <w:szCs w:val="20"/>
                <w:lang w:eastAsia="pt-BR"/>
              </w:rPr>
              <w:t>NÃO IMPLEMENTADA/ REITERADA PELA NÃO IMPLEMENTAÇÃO PLENA</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b/>
                <w:b/>
                <w:color w:val="000000"/>
                <w:sz w:val="20"/>
                <w:szCs w:val="20"/>
                <w:lang w:eastAsia="pt-BR"/>
              </w:rPr>
            </w:pPr>
            <w:r>
              <w:rPr>
                <w:rFonts w:eastAsia="Times New Roman"/>
                <w:b/>
                <w:color w:val="000000"/>
                <w:sz w:val="20"/>
                <w:szCs w:val="20"/>
                <w:lang w:eastAsia="pt-BR"/>
              </w:rPr>
              <w:t>21</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b/>
                <w:b/>
                <w:bCs/>
                <w:color w:val="000000"/>
                <w:sz w:val="20"/>
                <w:szCs w:val="20"/>
                <w:lang w:eastAsia="pt-BR"/>
              </w:rPr>
            </w:pPr>
            <w:r>
              <w:rPr>
                <w:rFonts w:eastAsia="Times New Roman"/>
                <w:b/>
                <w:bCs/>
                <w:color w:val="000000"/>
                <w:sz w:val="20"/>
                <w:szCs w:val="20"/>
                <w:lang w:eastAsia="pt-BR"/>
              </w:rPr>
              <w:t>40,38</w:t>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0"/>
              <w:rPr>
                <w:rFonts w:eastAsia="Times New Roman"/>
                <w:color w:val="000000"/>
                <w:sz w:val="20"/>
                <w:szCs w:val="20"/>
                <w:lang w:eastAsia="pt-BR"/>
              </w:rPr>
            </w:pPr>
            <w:r>
              <w:rPr>
                <w:rFonts w:eastAsia="Times New Roman"/>
                <w:color w:val="000000"/>
                <w:sz w:val="20"/>
                <w:szCs w:val="20"/>
                <w:lang w:eastAsia="pt-BR"/>
              </w:rPr>
              <w:t>IMPLEMENTADA</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16</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bCs/>
                <w:color w:val="000000"/>
                <w:sz w:val="20"/>
                <w:szCs w:val="20"/>
                <w:lang w:eastAsia="pt-BR"/>
              </w:rPr>
            </w:pPr>
            <w:r>
              <w:rPr>
                <w:rFonts w:eastAsia="Times New Roman"/>
                <w:bCs/>
                <w:color w:val="000000"/>
                <w:sz w:val="20"/>
                <w:szCs w:val="20"/>
                <w:lang w:eastAsia="pt-BR"/>
              </w:rPr>
              <w:t>30,77</w:t>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0"/>
              <w:rPr>
                <w:rFonts w:eastAsia="Times New Roman"/>
                <w:color w:val="000000"/>
                <w:sz w:val="20"/>
                <w:szCs w:val="20"/>
                <w:lang w:eastAsia="pt-BR"/>
              </w:rPr>
            </w:pPr>
            <w:r>
              <w:rPr>
                <w:rFonts w:eastAsia="Times New Roman"/>
                <w:color w:val="000000"/>
                <w:sz w:val="20"/>
                <w:szCs w:val="20"/>
                <w:lang w:eastAsia="pt-BR"/>
              </w:rPr>
              <w:t>AGUARDAR AÇÃO DE CONTROLE</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9</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bCs/>
                <w:color w:val="000000"/>
                <w:sz w:val="20"/>
                <w:szCs w:val="20"/>
                <w:lang w:eastAsia="pt-BR"/>
              </w:rPr>
            </w:pPr>
            <w:r>
              <w:rPr>
                <w:rFonts w:eastAsia="Times New Roman"/>
                <w:bCs/>
                <w:color w:val="000000"/>
                <w:sz w:val="20"/>
                <w:szCs w:val="20"/>
                <w:lang w:eastAsia="pt-BR"/>
              </w:rPr>
              <w:t>17,31</w:t>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0"/>
              <w:rPr>
                <w:rFonts w:eastAsia="Times New Roman"/>
                <w:color w:val="000000"/>
                <w:sz w:val="20"/>
                <w:szCs w:val="20"/>
                <w:lang w:eastAsia="pt-BR"/>
              </w:rPr>
            </w:pPr>
            <w:r>
              <w:rPr>
                <w:rFonts w:eastAsia="Times New Roman"/>
                <w:color w:val="000000"/>
                <w:sz w:val="20"/>
                <w:szCs w:val="20"/>
                <w:lang w:eastAsia="pt-BR"/>
              </w:rPr>
              <w:t>RECOMENDAÇÃO CANCELADA</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4</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bCs/>
                <w:color w:val="000000"/>
                <w:sz w:val="20"/>
                <w:szCs w:val="20"/>
                <w:lang w:eastAsia="pt-BR"/>
              </w:rPr>
            </w:pPr>
            <w:r>
              <w:rPr>
                <w:rFonts w:eastAsia="Times New Roman"/>
                <w:bCs/>
                <w:color w:val="000000"/>
                <w:sz w:val="20"/>
                <w:szCs w:val="20"/>
                <w:lang w:eastAsia="pt-BR"/>
              </w:rPr>
              <w:t>7,69</w:t>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0"/>
              <w:rPr>
                <w:rFonts w:eastAsia="Times New Roman"/>
                <w:color w:val="000000"/>
                <w:sz w:val="20"/>
                <w:szCs w:val="20"/>
                <w:lang w:eastAsia="pt-BR"/>
              </w:rPr>
            </w:pPr>
            <w:r>
              <w:rPr>
                <w:rFonts w:eastAsia="Times New Roman"/>
                <w:color w:val="000000"/>
                <w:sz w:val="20"/>
                <w:szCs w:val="20"/>
                <w:lang w:eastAsia="pt-BR"/>
              </w:rPr>
              <w:t>MONITORAMENTO ENCERRADO</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1</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bCs/>
                <w:color w:val="000000"/>
                <w:sz w:val="20"/>
                <w:szCs w:val="20"/>
                <w:lang w:eastAsia="pt-BR"/>
              </w:rPr>
            </w:pPr>
            <w:r>
              <w:rPr>
                <w:rFonts w:eastAsia="Times New Roman"/>
                <w:bCs/>
                <w:color w:val="000000"/>
                <w:sz w:val="20"/>
                <w:szCs w:val="20"/>
                <w:lang w:eastAsia="pt-BR"/>
              </w:rPr>
              <w:t>1,92</w:t>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0"/>
              <w:rPr>
                <w:rFonts w:eastAsia="Times New Roman"/>
                <w:color w:val="000000"/>
                <w:sz w:val="20"/>
                <w:szCs w:val="20"/>
                <w:lang w:eastAsia="pt-BR"/>
              </w:rPr>
            </w:pPr>
            <w:r>
              <w:rPr>
                <w:rFonts w:eastAsia="Times New Roman"/>
                <w:color w:val="000000"/>
                <w:sz w:val="20"/>
                <w:szCs w:val="20"/>
                <w:lang w:eastAsia="pt-BR"/>
              </w:rPr>
              <w:t>RECOMENDAÇÃO SUBSTITUÍDA</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1</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bCs/>
                <w:color w:val="000000"/>
                <w:sz w:val="20"/>
                <w:szCs w:val="20"/>
                <w:lang w:eastAsia="pt-BR"/>
              </w:rPr>
            </w:pPr>
            <w:r>
              <w:rPr>
                <w:rFonts w:eastAsia="Times New Roman"/>
                <w:bCs/>
                <w:color w:val="000000"/>
                <w:sz w:val="20"/>
                <w:szCs w:val="20"/>
                <w:lang w:eastAsia="pt-BR"/>
              </w:rPr>
              <w:t>1,92</w:t>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1"/>
              <w:rPr>
                <w:rFonts w:eastAsia="Times New Roman"/>
                <w:color w:val="000000"/>
                <w:sz w:val="20"/>
                <w:szCs w:val="20"/>
                <w:lang w:eastAsia="pt-BR"/>
              </w:rPr>
            </w:pPr>
            <w:r>
              <w:rPr>
                <w:rFonts w:eastAsia="Times New Roman"/>
                <w:b/>
                <w:color w:val="000000"/>
                <w:sz w:val="20"/>
                <w:szCs w:val="20"/>
                <w:lang w:eastAsia="pt-BR"/>
              </w:rPr>
              <w:t>TOTAL 2013</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center"/>
              <w:rPr>
                <w:rFonts w:eastAsia="Times New Roman"/>
                <w:color w:val="000000"/>
                <w:sz w:val="20"/>
                <w:szCs w:val="20"/>
                <w:lang w:eastAsia="pt-BR"/>
              </w:rPr>
            </w:pPr>
            <w:r>
              <w:rPr>
                <w:rFonts w:eastAsia="Times New Roman"/>
                <w:b/>
                <w:bCs/>
                <w:color w:val="000000"/>
                <w:sz w:val="20"/>
                <w:szCs w:val="20"/>
                <w:lang w:eastAsia="pt-BR"/>
              </w:rPr>
              <w:t>52</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bCs/>
                <w:color w:val="000000"/>
                <w:sz w:val="20"/>
                <w:szCs w:val="20"/>
                <w:lang w:eastAsia="pt-BR"/>
              </w:rPr>
            </w:pPr>
            <w:r>
              <w:rPr>
                <w:rFonts w:eastAsia="Times New Roman"/>
                <w:bCs/>
                <w:color w:val="000000"/>
                <w:sz w:val="20"/>
                <w:szCs w:val="20"/>
                <w:lang w:eastAsia="pt-BR"/>
              </w:rPr>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70" w:type="dxa"/>
            </w:tcMar>
            <w:vAlign w:val="bottom"/>
          </w:tcPr>
          <w:p>
            <w:pPr>
              <w:pStyle w:val="Normal"/>
              <w:jc w:val="center"/>
              <w:rPr>
                <w:rFonts w:eastAsia="Times New Roman"/>
                <w:b/>
                <w:b/>
                <w:bCs/>
                <w:color w:val="000000"/>
                <w:sz w:val="20"/>
                <w:szCs w:val="20"/>
                <w:lang w:eastAsia="pt-BR"/>
              </w:rPr>
            </w:pPr>
            <w:r>
              <w:rPr>
                <w:rFonts w:eastAsia="Times New Roman"/>
                <w:b/>
                <w:bCs/>
                <w:color w:val="000000"/>
                <w:sz w:val="20"/>
                <w:szCs w:val="20"/>
                <w:lang w:eastAsia="pt-BR"/>
              </w:rPr>
              <w:t>Recomendações do exercício de 2014</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70" w:type="dxa"/>
            </w:tcMar>
            <w:vAlign w:val="bottom"/>
          </w:tcPr>
          <w:p>
            <w:pPr>
              <w:pStyle w:val="Normal"/>
              <w:jc w:val="center"/>
              <w:rPr>
                <w:rFonts w:eastAsia="Times New Roman"/>
                <w:b/>
                <w:b/>
                <w:bCs/>
                <w:color w:val="000000"/>
                <w:sz w:val="20"/>
                <w:szCs w:val="20"/>
                <w:lang w:eastAsia="pt-BR"/>
              </w:rPr>
            </w:pPr>
            <w:r>
              <w:rPr>
                <w:rFonts w:eastAsia="Times New Roman"/>
                <w:b/>
                <w:bCs/>
                <w:color w:val="000000"/>
                <w:sz w:val="20"/>
                <w:szCs w:val="20"/>
                <w:lang w:eastAsia="pt-BR"/>
              </w:rPr>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70" w:type="dxa"/>
            </w:tcMar>
            <w:vAlign w:val="bottom"/>
          </w:tcPr>
          <w:p>
            <w:pPr>
              <w:pStyle w:val="Normal"/>
              <w:jc w:val="center"/>
              <w:rPr>
                <w:rFonts w:eastAsia="Times New Roman"/>
                <w:color w:val="000000"/>
                <w:sz w:val="20"/>
                <w:szCs w:val="20"/>
                <w:lang w:eastAsia="pt-BR"/>
              </w:rPr>
            </w:pPr>
            <w:r>
              <w:rPr>
                <w:rFonts w:eastAsia="Times New Roman"/>
                <w:color w:val="000000"/>
                <w:sz w:val="20"/>
                <w:szCs w:val="20"/>
                <w:lang w:eastAsia="pt-BR"/>
              </w:rPr>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tbl>
            <w:tblPr>
              <w:tblW w:w="7840" w:type="dxa"/>
              <w:jc w:val="left"/>
              <w:tblInd w:w="0" w:type="dxa"/>
              <w:tblBorders/>
              <w:tblCellMar>
                <w:top w:w="0" w:type="dxa"/>
                <w:left w:w="70" w:type="dxa"/>
                <w:bottom w:w="0" w:type="dxa"/>
                <w:right w:w="70" w:type="dxa"/>
              </w:tblCellMar>
              <w:tblLook w:noVBand="1" w:val="04a0" w:noHBand="0" w:lastColumn="0" w:firstColumn="1" w:lastRow="0" w:firstRow="1"/>
            </w:tblPr>
            <w:tblGrid>
              <w:gridCol w:w="6880"/>
              <w:gridCol w:w="959"/>
            </w:tblGrid>
            <w:tr>
              <w:trPr>
                <w:trHeight w:val="300" w:hRule="atLeast"/>
              </w:trPr>
              <w:tc>
                <w:tcPr>
                  <w:tcW w:w="6880" w:type="dxa"/>
                  <w:tcBorders/>
                  <w:shd w:color="auto" w:fill="auto" w:val="clear"/>
                  <w:vAlign w:val="bottom"/>
                </w:tcPr>
                <w:p>
                  <w:pPr>
                    <w:pStyle w:val="Normal"/>
                    <w:rPr>
                      <w:rFonts w:eastAsia="Times New Roman"/>
                      <w:b/>
                      <w:b/>
                      <w:color w:val="000000"/>
                      <w:sz w:val="20"/>
                      <w:szCs w:val="20"/>
                      <w:lang w:eastAsia="pt-BR"/>
                    </w:rPr>
                  </w:pPr>
                  <w:r>
                    <w:rPr>
                      <w:rFonts w:eastAsia="Times New Roman"/>
                      <w:b/>
                      <w:color w:val="000000"/>
                      <w:sz w:val="20"/>
                      <w:szCs w:val="20"/>
                      <w:lang w:eastAsia="pt-BR"/>
                    </w:rPr>
                    <w:t>NÃO IMPLEMENTADA/ REITERADA PELA NÃO IMPLEMENTAÇÃO PLENA</w:t>
                  </w:r>
                </w:p>
              </w:tc>
              <w:tc>
                <w:tcPr>
                  <w:tcW w:w="959" w:type="dxa"/>
                  <w:tcBorders/>
                  <w:shd w:color="auto" w:fill="auto" w:val="clear"/>
                  <w:vAlign w:val="bottom"/>
                </w:tcPr>
                <w:p>
                  <w:pPr>
                    <w:pStyle w:val="Normal"/>
                    <w:jc w:val="right"/>
                    <w:rPr>
                      <w:rFonts w:eastAsia="Times New Roman"/>
                      <w:b/>
                      <w:b/>
                      <w:color w:val="000000"/>
                      <w:sz w:val="20"/>
                      <w:szCs w:val="20"/>
                      <w:lang w:eastAsia="pt-BR"/>
                    </w:rPr>
                  </w:pPr>
                  <w:r>
                    <w:rPr>
                      <w:rFonts w:eastAsia="Times New Roman"/>
                      <w:b/>
                      <w:color w:val="000000"/>
                      <w:sz w:val="20"/>
                      <w:szCs w:val="20"/>
                      <w:lang w:eastAsia="pt-BR"/>
                    </w:rPr>
                  </w:r>
                </w:p>
              </w:tc>
            </w:tr>
          </w:tbl>
          <w:p>
            <w:pPr>
              <w:pStyle w:val="Normal"/>
              <w:ind w:firstLine="201"/>
              <w:rPr>
                <w:rFonts w:eastAsia="Times New Roman"/>
                <w:b/>
                <w:b/>
                <w:color w:val="000000"/>
                <w:sz w:val="20"/>
                <w:szCs w:val="20"/>
                <w:lang w:eastAsia="pt-BR"/>
              </w:rPr>
            </w:pPr>
            <w:r>
              <w:rPr>
                <w:rFonts w:eastAsia="Times New Roman"/>
                <w:b/>
                <w:color w:val="000000"/>
                <w:sz w:val="20"/>
                <w:szCs w:val="20"/>
                <w:lang w:eastAsia="pt-BR"/>
              </w:rPr>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b/>
                <w:b/>
                <w:color w:val="000000"/>
                <w:sz w:val="20"/>
                <w:szCs w:val="20"/>
                <w:lang w:eastAsia="pt-BR"/>
              </w:rPr>
            </w:pPr>
            <w:r>
              <w:rPr>
                <w:rFonts w:eastAsia="Times New Roman"/>
                <w:b/>
                <w:color w:val="000000"/>
                <w:sz w:val="20"/>
                <w:szCs w:val="20"/>
                <w:lang w:eastAsia="pt-BR"/>
              </w:rPr>
              <w:t>41</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b/>
                <w:b/>
                <w:bCs/>
                <w:color w:val="000000"/>
                <w:sz w:val="20"/>
                <w:szCs w:val="20"/>
                <w:lang w:eastAsia="pt-BR"/>
              </w:rPr>
            </w:pPr>
            <w:r>
              <w:rPr>
                <w:rFonts w:eastAsia="Times New Roman"/>
                <w:b/>
                <w:bCs/>
                <w:color w:val="000000"/>
                <w:sz w:val="20"/>
                <w:szCs w:val="20"/>
                <w:lang w:eastAsia="pt-BR"/>
              </w:rPr>
              <w:t>85,42</w:t>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0"/>
              <w:rPr>
                <w:rFonts w:eastAsia="Times New Roman"/>
                <w:color w:val="000000"/>
                <w:sz w:val="20"/>
                <w:szCs w:val="20"/>
                <w:lang w:eastAsia="pt-BR"/>
              </w:rPr>
            </w:pPr>
            <w:r>
              <w:rPr>
                <w:rFonts w:eastAsia="Times New Roman"/>
                <w:color w:val="000000"/>
                <w:sz w:val="20"/>
                <w:szCs w:val="20"/>
                <w:lang w:eastAsia="pt-BR"/>
              </w:rPr>
              <w:t>IMPLEMENTADA</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color w:val="000000"/>
                <w:sz w:val="20"/>
                <w:szCs w:val="20"/>
                <w:lang w:eastAsia="pt-BR"/>
              </w:rPr>
            </w:pPr>
            <w:r>
              <w:rPr>
                <w:rFonts w:eastAsia="Times New Roman"/>
                <w:color w:val="000000"/>
                <w:sz w:val="20"/>
                <w:szCs w:val="20"/>
                <w:lang w:eastAsia="pt-BR"/>
              </w:rPr>
              <w:t>07</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bCs/>
                <w:color w:val="000000"/>
                <w:sz w:val="20"/>
                <w:szCs w:val="20"/>
                <w:lang w:eastAsia="pt-BR"/>
              </w:rPr>
            </w:pPr>
            <w:r>
              <w:rPr>
                <w:rFonts w:eastAsia="Times New Roman"/>
                <w:bCs/>
                <w:color w:val="000000"/>
                <w:sz w:val="20"/>
                <w:szCs w:val="20"/>
                <w:lang w:eastAsia="pt-BR"/>
              </w:rPr>
              <w:t>14,58</w:t>
            </w:r>
          </w:p>
        </w:tc>
      </w:tr>
      <w:tr>
        <w:trPr>
          <w:trHeight w:val="300" w:hRule="atLeast"/>
        </w:trPr>
        <w:tc>
          <w:tcPr>
            <w:tcW w:w="6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ind w:firstLine="201"/>
              <w:rPr>
                <w:rFonts w:eastAsia="Times New Roman"/>
                <w:color w:val="000000"/>
                <w:sz w:val="20"/>
                <w:szCs w:val="20"/>
                <w:lang w:eastAsia="pt-BR"/>
              </w:rPr>
            </w:pPr>
            <w:r>
              <w:rPr>
                <w:rFonts w:eastAsia="Times New Roman"/>
                <w:b/>
                <w:color w:val="000000"/>
                <w:sz w:val="20"/>
                <w:szCs w:val="20"/>
                <w:lang w:eastAsia="pt-BR"/>
              </w:rPr>
              <w:t>TOTAL 2014</w:t>
            </w:r>
          </w:p>
        </w:tc>
        <w:tc>
          <w:tcPr>
            <w:tcW w:w="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center"/>
              <w:rPr>
                <w:rFonts w:eastAsia="Times New Roman"/>
                <w:color w:val="000000"/>
                <w:sz w:val="20"/>
                <w:szCs w:val="20"/>
                <w:lang w:eastAsia="pt-BR"/>
              </w:rPr>
            </w:pPr>
            <w:r>
              <w:rPr>
                <w:rFonts w:eastAsia="Times New Roman"/>
                <w:b/>
                <w:bCs/>
                <w:color w:val="000000"/>
                <w:sz w:val="20"/>
                <w:szCs w:val="20"/>
                <w:lang w:eastAsia="pt-BR"/>
              </w:rPr>
              <w:t>48</w:t>
            </w:r>
          </w:p>
        </w:tc>
        <w:tc>
          <w:tcPr>
            <w:tcW w:w="9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70" w:type="dxa"/>
            </w:tcMar>
            <w:vAlign w:val="bottom"/>
          </w:tcPr>
          <w:p>
            <w:pPr>
              <w:pStyle w:val="Normal"/>
              <w:jc w:val="right"/>
              <w:rPr>
                <w:rFonts w:eastAsia="Times New Roman"/>
                <w:bCs/>
                <w:color w:val="000000"/>
                <w:sz w:val="20"/>
                <w:szCs w:val="20"/>
                <w:lang w:eastAsia="pt-BR"/>
              </w:rPr>
            </w:pPr>
            <w:r>
              <w:rPr>
                <w:rFonts w:eastAsia="Times New Roman"/>
                <w:bCs/>
                <w:color w:val="000000"/>
                <w:sz w:val="20"/>
                <w:szCs w:val="20"/>
                <w:lang w:eastAsia="pt-BR"/>
              </w:rPr>
            </w:r>
          </w:p>
        </w:tc>
      </w:tr>
    </w:tbl>
    <w:p>
      <w:pPr>
        <w:pStyle w:val="Standard"/>
        <w:jc w:val="both"/>
        <w:rPr>
          <w:rFonts w:cs="Times New Roman"/>
        </w:rPr>
      </w:pPr>
      <w:r>
        <w:rPr>
          <w:rFonts w:cs="Times New Roman"/>
        </w:rPr>
      </w:r>
    </w:p>
    <w:p>
      <w:pPr>
        <w:pStyle w:val="Normal"/>
        <w:jc w:val="both"/>
        <w:rPr>
          <w:lang w:eastAsia="pt-BR"/>
        </w:rPr>
      </w:pPr>
      <w:r>
        <w:rPr>
          <w:lang w:eastAsia="pt-BR"/>
        </w:rPr>
        <w:t xml:space="preserve">No exercício de 2015, para verificação da implementação das recomendações expedidas nos cinco relatórios de auditoria do exercício de 2014, a AUDIN elaborou a Nota Técnica nº 03/2015, tendo verificado, quanto ao Relatório nº 01/2014 que das 20 recomendações expedidas, apenas sete foram atendidas (31,58%). Para os Relatórios 02/204 e 05/2014, a AUDIN pretende, conforme informado pelo Auditor Titular no Ofício nº 14/2015-AUDIN, de 19 de outubro de 2015, verificar a implementação das recomendações quando da execução das Atividades nºs 13 e 10 do PAINT/2015, respectivamente. Também informou o Auditor interno que os Relatórios nºs 02 e 04/2014 só deveram ser objeto de verificação em 2016. </w:t>
      </w:r>
    </w:p>
    <w:p>
      <w:pPr>
        <w:pStyle w:val="Normal"/>
        <w:spacing w:lineRule="auto" w:line="240" w:beforeAutospacing="1" w:afterAutospacing="1"/>
        <w:contextualSpacing/>
        <w:jc w:val="both"/>
        <w:rPr>
          <w:color w:val="FFFFFF" w:themeColor="background1"/>
          <w:spacing w:val="0"/>
          <w:sz w:val="2"/>
          <w:szCs w:val="2"/>
        </w:rPr>
      </w:pPr>
      <w:r>
        <w:rPr>
          <w:color w:val="FFFFFF" w:themeColor="background1"/>
          <w:spacing w:val="0"/>
          <w:sz w:val="2"/>
          <w:szCs w:val="2"/>
        </w:rPr>
        <w:t>##/Fato##</w:t>
      </w:r>
    </w:p>
    <w:p>
      <w:pPr>
        <w:pStyle w:val="Normal"/>
        <w:spacing w:lineRule="auto" w:line="240" w:before="0" w:after="0"/>
        <w:rPr>
          <w:rFonts w:ascii="Arial" w:hAnsi="Arial" w:cs="Arial"/>
          <w:b/>
          <w:b/>
        </w:rPr>
      </w:pPr>
      <w:r>
        <w:rPr>
          <w:b/>
        </w:rPr>
        <w:t>Causa</w:t>
      </w:r>
    </w:p>
    <w:p>
      <w:pPr>
        <w:pStyle w:val="Normal"/>
        <w:spacing w:lineRule="auto" w:line="240" w:before="0" w:after="0"/>
        <w:rPr>
          <w:b/>
          <w:b/>
        </w:rPr>
      </w:pPr>
      <w:r>
        <w:rPr>
          <w:b/>
        </w:rPr>
      </w:r>
    </w:p>
    <w:p>
      <w:pPr>
        <w:pStyle w:val="Standard"/>
        <w:jc w:val="both"/>
        <w:rPr>
          <w:rFonts w:cs="Times New Roman"/>
          <w:b/>
          <w:b/>
        </w:rPr>
      </w:pPr>
      <w:r>
        <w:rPr>
          <w:rFonts w:cs="Times New Roman"/>
          <w:lang w:eastAsia="pt-BR" w:bidi="ar-SA"/>
        </w:rPr>
        <w:t>Fragilidades nos controles internos da UFRPE no tocante à adoção tempestiva de providências para cumprimento de recomendações da Auditoria Interna do órgão.</w:t>
      </w:r>
    </w:p>
    <w:p>
      <w:pPr>
        <w:pStyle w:val="Normal"/>
        <w:spacing w:lineRule="auto" w:line="240" w:beforeAutospacing="1" w:afterAutospacing="1"/>
        <w:contextualSpacing/>
        <w:jc w:val="both"/>
        <w:rPr>
          <w:color w:val="FFFFFF" w:themeColor="background1"/>
          <w:spacing w:val="0"/>
          <w:sz w:val="2"/>
          <w:szCs w:val="2"/>
        </w:rPr>
      </w:pPr>
      <w:r>
        <w:rPr>
          <w:color w:val="FFFFFF" w:themeColor="background1"/>
          <w:spacing w:val="0"/>
          <w:sz w:val="2"/>
          <w:szCs w:val="2"/>
        </w:rPr>
        <w:t>##/Causa##</w:t>
      </w:r>
    </w:p>
    <w:p>
      <w:pPr>
        <w:pStyle w:val="Normal"/>
        <w:spacing w:lineRule="auto" w:line="240" w:before="0" w:after="0"/>
        <w:rPr>
          <w:rFonts w:ascii="Arial" w:hAnsi="Arial" w:cs="Arial"/>
          <w:b/>
          <w:b/>
        </w:rPr>
      </w:pPr>
      <w:r>
        <w:rPr>
          <w:b/>
        </w:rPr>
        <w:t>Manifestação da Unidade Examinada</w:t>
      </w:r>
    </w:p>
    <w:p>
      <w:pPr>
        <w:pStyle w:val="Normal"/>
        <w:spacing w:lineRule="auto" w:line="240" w:before="0" w:after="0"/>
        <w:rPr>
          <w:b/>
          <w:b/>
        </w:rPr>
      </w:pPr>
      <w:r>
        <w:rPr>
          <w:b/>
        </w:rPr>
      </w:r>
    </w:p>
    <w:p>
      <w:pPr>
        <w:pStyle w:val="Textbody"/>
        <w:jc w:val="both"/>
        <w:rPr>
          <w:rFonts w:cs="Times New Roman"/>
        </w:rPr>
      </w:pPr>
      <w:r>
        <w:rPr>
          <w:rFonts w:eastAsia="Times New Roman" w:cs="Times New Roman"/>
          <w:lang w:eastAsia="pt-BR"/>
        </w:rPr>
        <w:t xml:space="preserve">   </w:t>
      </w:r>
      <w:r>
        <w:rPr>
          <w:rFonts w:cs="Times New Roman"/>
          <w:color w:val="000000"/>
        </w:rPr>
        <w:t xml:space="preserve">A Reitora apresentou os seguintes esclarecimentos, por meio do </w:t>
      </w:r>
      <w:r>
        <w:rPr>
          <w:rFonts w:cs="Times New Roman"/>
        </w:rPr>
        <w:t xml:space="preserve">OFÍCIO N.º 577/2015 – GR, de 23/10/2015: </w:t>
      </w:r>
    </w:p>
    <w:p>
      <w:pPr>
        <w:pStyle w:val="Normal"/>
        <w:jc w:val="both"/>
        <w:rPr>
          <w:i/>
          <w:i/>
        </w:rPr>
      </w:pPr>
      <w:r>
        <w:rPr/>
        <w:t>“</w:t>
      </w:r>
      <w:r>
        <w:rPr/>
        <w:t xml:space="preserve">... </w:t>
      </w:r>
      <w:r>
        <w:rPr>
          <w:i/>
        </w:rPr>
        <w:t>comunicamos</w:t>
      </w:r>
      <w:r>
        <w:rPr>
          <w:i/>
          <w:color w:val="000000"/>
        </w:rPr>
        <w:t xml:space="preserve"> que a AUDIN/UFRPE monitorou no exercício 2014, 117 recomendações, e, em 2015, até o momento, foram acompanhadas 43 recomendações do total de 403 recomendações contidas no PPP, conforme segue:</w:t>
      </w:r>
    </w:p>
    <w:tbl>
      <w:tblPr>
        <w:tblW w:w="8787" w:type="dxa"/>
        <w:jc w:val="left"/>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noVBand="1" w:val="04a0" w:noHBand="0" w:lastColumn="0" w:firstColumn="1" w:lastRow="0" w:firstRow="1"/>
      </w:tblPr>
      <w:tblGrid>
        <w:gridCol w:w="1699"/>
        <w:gridCol w:w="1417"/>
        <w:gridCol w:w="1"/>
        <w:gridCol w:w="1983"/>
        <w:gridCol w:w="1"/>
        <w:gridCol w:w="1701"/>
        <w:gridCol w:w="1985"/>
      </w:tblGrid>
      <w:tr>
        <w:trPr/>
        <w:tc>
          <w:tcPr>
            <w:tcW w:w="1699" w:type="dxa"/>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center"/>
              <w:rPr>
                <w:rFonts w:ascii="Times New Roman" w:hAnsi="Times New Roman" w:cs="Times New Roman"/>
                <w:b/>
                <w:b/>
                <w:bCs/>
                <w:i/>
                <w:i/>
                <w:caps/>
                <w:sz w:val="20"/>
                <w:szCs w:val="20"/>
              </w:rPr>
            </w:pPr>
            <w:r>
              <w:rPr>
                <w:rFonts w:cs="Times New Roman" w:ascii="Times New Roman" w:hAnsi="Times New Roman"/>
                <w:b/>
                <w:bCs/>
                <w:i/>
                <w:caps/>
                <w:sz w:val="20"/>
                <w:szCs w:val="20"/>
              </w:rPr>
              <w:t>Nº da Nota Técnica</w:t>
            </w:r>
          </w:p>
        </w:tc>
        <w:tc>
          <w:tcPr>
            <w:tcW w:w="1418" w:type="dxa"/>
            <w:gridSpan w:val="2"/>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both"/>
              <w:rPr>
                <w:rFonts w:ascii="Times New Roman" w:hAnsi="Times New Roman" w:cs="Times New Roman"/>
                <w:b/>
                <w:b/>
                <w:bCs/>
                <w:i/>
                <w:i/>
                <w:sz w:val="20"/>
                <w:szCs w:val="20"/>
              </w:rPr>
            </w:pPr>
            <w:r>
              <w:rPr>
                <w:rFonts w:cs="Times New Roman" w:ascii="Times New Roman" w:hAnsi="Times New Roman"/>
                <w:b/>
                <w:bCs/>
                <w:i/>
                <w:sz w:val="20"/>
                <w:szCs w:val="20"/>
              </w:rPr>
              <w:t>NÚMERO DO RELATÓRIO.</w:t>
            </w:r>
          </w:p>
        </w:tc>
        <w:tc>
          <w:tcPr>
            <w:tcW w:w="1984" w:type="dxa"/>
            <w:gridSpan w:val="2"/>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both"/>
              <w:rPr>
                <w:rFonts w:ascii="Times New Roman" w:hAnsi="Times New Roman" w:cs="Times New Roman"/>
                <w:b/>
                <w:b/>
                <w:bCs/>
                <w:i/>
                <w:i/>
                <w:sz w:val="20"/>
                <w:szCs w:val="20"/>
              </w:rPr>
            </w:pPr>
            <w:r>
              <w:rPr>
                <w:rFonts w:cs="Times New Roman" w:ascii="Times New Roman" w:hAnsi="Times New Roman"/>
                <w:b/>
                <w:bCs/>
                <w:i/>
                <w:sz w:val="20"/>
                <w:szCs w:val="20"/>
              </w:rPr>
              <w:t>QTDE DE RECOMENDAÇÕES DO RELATÓRIO.</w:t>
            </w:r>
          </w:p>
        </w:tc>
        <w:tc>
          <w:tcPr>
            <w:tcW w:w="1701" w:type="dxa"/>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both"/>
              <w:rPr>
                <w:rFonts w:ascii="Times New Roman" w:hAnsi="Times New Roman" w:cs="Times New Roman"/>
                <w:b/>
                <w:b/>
                <w:bCs/>
                <w:i/>
                <w:i/>
                <w:sz w:val="20"/>
                <w:szCs w:val="20"/>
              </w:rPr>
            </w:pPr>
            <w:r>
              <w:rPr>
                <w:rFonts w:cs="Times New Roman" w:ascii="Times New Roman" w:hAnsi="Times New Roman"/>
                <w:b/>
                <w:bCs/>
                <w:i/>
                <w:sz w:val="20"/>
                <w:szCs w:val="20"/>
              </w:rPr>
              <w:t>QTDE DE RECOMENDAÇÕES ATENDIDAS.</w:t>
            </w:r>
          </w:p>
        </w:tc>
        <w:tc>
          <w:tcPr>
            <w:tcW w:w="19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8" w:type="dxa"/>
            </w:tcMar>
          </w:tcPr>
          <w:p>
            <w:pPr>
              <w:pStyle w:val="Contedodatabela"/>
              <w:jc w:val="both"/>
              <w:rPr>
                <w:rFonts w:ascii="Times New Roman" w:hAnsi="Times New Roman" w:cs="Times New Roman"/>
                <w:b/>
                <w:b/>
                <w:bCs/>
                <w:i/>
                <w:i/>
                <w:sz w:val="20"/>
                <w:szCs w:val="20"/>
              </w:rPr>
            </w:pPr>
            <w:r>
              <w:rPr>
                <w:rFonts w:cs="Times New Roman" w:ascii="Times New Roman" w:hAnsi="Times New Roman"/>
                <w:b/>
                <w:bCs/>
                <w:i/>
                <w:sz w:val="20"/>
                <w:szCs w:val="20"/>
              </w:rPr>
              <w:t xml:space="preserve">% ATENDIMENTO DAS RECOMENDAÇÕES. </w:t>
            </w:r>
          </w:p>
        </w:tc>
      </w:tr>
      <w:tr>
        <w:trPr/>
        <w:tc>
          <w:tcPr>
            <w:tcW w:w="1699" w:type="dxa"/>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both"/>
              <w:rPr>
                <w:rFonts w:ascii="Times New Roman" w:hAnsi="Times New Roman" w:cs="Times New Roman"/>
                <w:b/>
                <w:b/>
                <w:bCs/>
                <w:i/>
                <w:i/>
                <w:sz w:val="20"/>
                <w:szCs w:val="20"/>
              </w:rPr>
            </w:pPr>
            <w:r>
              <w:rPr>
                <w:rFonts w:cs="Times New Roman" w:ascii="Times New Roman" w:hAnsi="Times New Roman"/>
                <w:b/>
                <w:bCs/>
                <w:i/>
                <w:sz w:val="20"/>
                <w:szCs w:val="20"/>
              </w:rPr>
              <w:t>NOTA TÉCNICA N. 01/2015 .</w:t>
            </w:r>
          </w:p>
        </w:tc>
        <w:tc>
          <w:tcPr>
            <w:tcW w:w="1418" w:type="dxa"/>
            <w:gridSpan w:val="2"/>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center"/>
              <w:rPr>
                <w:rFonts w:ascii="Times New Roman" w:hAnsi="Times New Roman" w:cs="Times New Roman"/>
                <w:i/>
                <w:i/>
                <w:sz w:val="20"/>
                <w:szCs w:val="20"/>
              </w:rPr>
            </w:pPr>
            <w:r>
              <w:rPr>
                <w:rFonts w:cs="Times New Roman" w:ascii="Times New Roman" w:hAnsi="Times New Roman"/>
                <w:i/>
                <w:sz w:val="20"/>
                <w:szCs w:val="20"/>
              </w:rPr>
              <w:t>04/2010</w:t>
            </w:r>
          </w:p>
        </w:tc>
        <w:tc>
          <w:tcPr>
            <w:tcW w:w="1984" w:type="dxa"/>
            <w:gridSpan w:val="2"/>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center"/>
              <w:rPr>
                <w:rFonts w:ascii="Times New Roman" w:hAnsi="Times New Roman" w:cs="Times New Roman"/>
                <w:i/>
                <w:i/>
                <w:sz w:val="20"/>
                <w:szCs w:val="20"/>
              </w:rPr>
            </w:pPr>
            <w:r>
              <w:rPr>
                <w:rFonts w:cs="Times New Roman" w:ascii="Times New Roman" w:hAnsi="Times New Roman"/>
                <w:i/>
                <w:sz w:val="20"/>
                <w:szCs w:val="20"/>
              </w:rPr>
              <w:t>12</w:t>
            </w:r>
          </w:p>
        </w:tc>
        <w:tc>
          <w:tcPr>
            <w:tcW w:w="1701" w:type="dxa"/>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center"/>
              <w:rPr>
                <w:rFonts w:ascii="Times New Roman" w:hAnsi="Times New Roman" w:cs="Times New Roman"/>
                <w:i/>
                <w:i/>
                <w:sz w:val="20"/>
                <w:szCs w:val="20"/>
              </w:rPr>
            </w:pPr>
            <w:r>
              <w:rPr>
                <w:rFonts w:cs="Times New Roman" w:ascii="Times New Roman" w:hAnsi="Times New Roman"/>
                <w:i/>
                <w:sz w:val="20"/>
                <w:szCs w:val="20"/>
              </w:rPr>
              <w:t>09</w:t>
            </w:r>
          </w:p>
        </w:tc>
        <w:tc>
          <w:tcPr>
            <w:tcW w:w="19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8" w:type="dxa"/>
            </w:tcMar>
          </w:tcPr>
          <w:p>
            <w:pPr>
              <w:pStyle w:val="Contedodatabela"/>
              <w:jc w:val="center"/>
              <w:rPr>
                <w:rFonts w:ascii="Times New Roman" w:hAnsi="Times New Roman" w:cs="Times New Roman"/>
                <w:i/>
                <w:i/>
                <w:sz w:val="20"/>
                <w:szCs w:val="20"/>
              </w:rPr>
            </w:pPr>
            <w:r>
              <w:rPr>
                <w:rFonts w:cs="Times New Roman" w:ascii="Times New Roman" w:hAnsi="Times New Roman"/>
                <w:i/>
                <w:sz w:val="20"/>
                <w:szCs w:val="20"/>
              </w:rPr>
              <w:t>75%</w:t>
            </w:r>
          </w:p>
        </w:tc>
      </w:tr>
      <w:tr>
        <w:trPr/>
        <w:tc>
          <w:tcPr>
            <w:tcW w:w="1699" w:type="dxa"/>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both"/>
              <w:rPr>
                <w:rFonts w:ascii="Times New Roman" w:hAnsi="Times New Roman" w:cs="Times New Roman"/>
                <w:b/>
                <w:b/>
                <w:bCs/>
                <w:i/>
                <w:i/>
                <w:sz w:val="20"/>
                <w:szCs w:val="20"/>
              </w:rPr>
            </w:pPr>
            <w:r>
              <w:rPr>
                <w:rFonts w:cs="Times New Roman" w:ascii="Times New Roman" w:hAnsi="Times New Roman"/>
                <w:b/>
                <w:bCs/>
                <w:i/>
                <w:sz w:val="20"/>
                <w:szCs w:val="20"/>
              </w:rPr>
              <w:t>NOTA TÉCNICA N. 01/2015</w:t>
            </w:r>
          </w:p>
        </w:tc>
        <w:tc>
          <w:tcPr>
            <w:tcW w:w="1418" w:type="dxa"/>
            <w:gridSpan w:val="2"/>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center"/>
              <w:rPr>
                <w:rFonts w:ascii="Times New Roman" w:hAnsi="Times New Roman" w:cs="Times New Roman"/>
                <w:i/>
                <w:i/>
                <w:sz w:val="20"/>
                <w:szCs w:val="20"/>
              </w:rPr>
            </w:pPr>
            <w:r>
              <w:rPr>
                <w:rFonts w:cs="Times New Roman" w:ascii="Times New Roman" w:hAnsi="Times New Roman"/>
                <w:i/>
                <w:sz w:val="20"/>
                <w:szCs w:val="20"/>
              </w:rPr>
              <w:t>04/2014</w:t>
            </w:r>
          </w:p>
        </w:tc>
        <w:tc>
          <w:tcPr>
            <w:tcW w:w="1984" w:type="dxa"/>
            <w:gridSpan w:val="2"/>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center"/>
              <w:rPr>
                <w:rFonts w:ascii="Times New Roman" w:hAnsi="Times New Roman" w:cs="Times New Roman"/>
                <w:i/>
                <w:i/>
                <w:sz w:val="20"/>
                <w:szCs w:val="20"/>
              </w:rPr>
            </w:pPr>
            <w:r>
              <w:rPr>
                <w:rFonts w:cs="Times New Roman" w:ascii="Times New Roman" w:hAnsi="Times New Roman"/>
                <w:i/>
                <w:sz w:val="20"/>
                <w:szCs w:val="20"/>
              </w:rPr>
              <w:t>06</w:t>
            </w:r>
          </w:p>
        </w:tc>
        <w:tc>
          <w:tcPr>
            <w:tcW w:w="1701" w:type="dxa"/>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center"/>
              <w:rPr>
                <w:rFonts w:ascii="Times New Roman" w:hAnsi="Times New Roman" w:cs="Times New Roman"/>
                <w:i/>
                <w:i/>
                <w:sz w:val="20"/>
                <w:szCs w:val="20"/>
              </w:rPr>
            </w:pPr>
            <w:r>
              <w:rPr>
                <w:rFonts w:cs="Times New Roman" w:ascii="Times New Roman" w:hAnsi="Times New Roman"/>
                <w:i/>
                <w:sz w:val="20"/>
                <w:szCs w:val="20"/>
              </w:rPr>
              <w:t>01</w:t>
            </w:r>
          </w:p>
        </w:tc>
        <w:tc>
          <w:tcPr>
            <w:tcW w:w="19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8" w:type="dxa"/>
            </w:tcMar>
          </w:tcPr>
          <w:p>
            <w:pPr>
              <w:pStyle w:val="Contedodatabela"/>
              <w:jc w:val="center"/>
              <w:rPr>
                <w:rFonts w:ascii="Times New Roman" w:hAnsi="Times New Roman" w:cs="Times New Roman"/>
                <w:i/>
                <w:i/>
                <w:sz w:val="20"/>
                <w:szCs w:val="20"/>
              </w:rPr>
            </w:pPr>
            <w:r>
              <w:rPr>
                <w:rFonts w:cs="Times New Roman" w:ascii="Times New Roman" w:hAnsi="Times New Roman"/>
                <w:i/>
                <w:sz w:val="20"/>
                <w:szCs w:val="20"/>
              </w:rPr>
              <w:t>16,67%</w:t>
            </w:r>
          </w:p>
        </w:tc>
      </w:tr>
      <w:tr>
        <w:trPr/>
        <w:tc>
          <w:tcPr>
            <w:tcW w:w="1699" w:type="dxa"/>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both"/>
              <w:rPr>
                <w:rFonts w:ascii="Times New Roman" w:hAnsi="Times New Roman" w:cs="Times New Roman"/>
                <w:b/>
                <w:b/>
                <w:bCs/>
                <w:i/>
                <w:i/>
                <w:sz w:val="20"/>
                <w:szCs w:val="20"/>
              </w:rPr>
            </w:pPr>
            <w:r>
              <w:rPr>
                <w:rFonts w:cs="Times New Roman" w:ascii="Times New Roman" w:hAnsi="Times New Roman"/>
                <w:b/>
                <w:bCs/>
                <w:i/>
                <w:sz w:val="20"/>
                <w:szCs w:val="20"/>
              </w:rPr>
              <w:t>NOTA TÉCNICA N. 03/2015</w:t>
            </w:r>
          </w:p>
        </w:tc>
        <w:tc>
          <w:tcPr>
            <w:tcW w:w="1418" w:type="dxa"/>
            <w:gridSpan w:val="2"/>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center"/>
              <w:rPr>
                <w:rFonts w:ascii="Times New Roman" w:hAnsi="Times New Roman" w:cs="Times New Roman"/>
                <w:i/>
                <w:i/>
                <w:sz w:val="20"/>
                <w:szCs w:val="20"/>
              </w:rPr>
            </w:pPr>
            <w:r>
              <w:rPr>
                <w:rFonts w:cs="Times New Roman" w:ascii="Times New Roman" w:hAnsi="Times New Roman"/>
                <w:i/>
                <w:sz w:val="20"/>
                <w:szCs w:val="20"/>
              </w:rPr>
              <w:t>01/2014</w:t>
            </w:r>
          </w:p>
        </w:tc>
        <w:tc>
          <w:tcPr>
            <w:tcW w:w="1984" w:type="dxa"/>
            <w:gridSpan w:val="2"/>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center"/>
              <w:rPr>
                <w:rFonts w:ascii="Times New Roman" w:hAnsi="Times New Roman" w:cs="Times New Roman"/>
                <w:i/>
                <w:i/>
                <w:sz w:val="20"/>
                <w:szCs w:val="20"/>
              </w:rPr>
            </w:pPr>
            <w:r>
              <w:rPr>
                <w:rFonts w:cs="Times New Roman" w:ascii="Times New Roman" w:hAnsi="Times New Roman"/>
                <w:i/>
                <w:sz w:val="20"/>
                <w:szCs w:val="20"/>
              </w:rPr>
              <w:t>20</w:t>
            </w:r>
          </w:p>
        </w:tc>
        <w:tc>
          <w:tcPr>
            <w:tcW w:w="1701" w:type="dxa"/>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center"/>
              <w:rPr>
                <w:rFonts w:ascii="Times New Roman" w:hAnsi="Times New Roman" w:cs="Times New Roman"/>
                <w:i/>
                <w:i/>
                <w:sz w:val="20"/>
                <w:szCs w:val="20"/>
              </w:rPr>
            </w:pPr>
            <w:r>
              <w:rPr>
                <w:rFonts w:cs="Times New Roman" w:ascii="Times New Roman" w:hAnsi="Times New Roman"/>
                <w:i/>
                <w:sz w:val="20"/>
                <w:szCs w:val="20"/>
              </w:rPr>
              <w:t>07</w:t>
            </w:r>
          </w:p>
        </w:tc>
        <w:tc>
          <w:tcPr>
            <w:tcW w:w="19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8" w:type="dxa"/>
            </w:tcMar>
          </w:tcPr>
          <w:p>
            <w:pPr>
              <w:pStyle w:val="Contedodatabela"/>
              <w:jc w:val="center"/>
              <w:rPr>
                <w:rFonts w:ascii="Times New Roman" w:hAnsi="Times New Roman" w:cs="Times New Roman"/>
                <w:i/>
                <w:i/>
                <w:sz w:val="20"/>
                <w:szCs w:val="20"/>
              </w:rPr>
            </w:pPr>
            <w:r>
              <w:rPr>
                <w:rFonts w:cs="Times New Roman" w:ascii="Times New Roman" w:hAnsi="Times New Roman"/>
                <w:i/>
                <w:sz w:val="20"/>
                <w:szCs w:val="20"/>
              </w:rPr>
              <w:t>35%</w:t>
            </w:r>
          </w:p>
        </w:tc>
      </w:tr>
      <w:tr>
        <w:trPr/>
        <w:tc>
          <w:tcPr>
            <w:tcW w:w="1699" w:type="dxa"/>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both"/>
              <w:rPr>
                <w:rFonts w:ascii="Times New Roman" w:hAnsi="Times New Roman" w:cs="Times New Roman"/>
                <w:b/>
                <w:b/>
                <w:bCs/>
                <w:i/>
                <w:i/>
                <w:sz w:val="20"/>
                <w:szCs w:val="20"/>
              </w:rPr>
            </w:pPr>
            <w:r>
              <w:rPr>
                <w:rFonts w:cs="Times New Roman" w:ascii="Times New Roman" w:hAnsi="Times New Roman"/>
                <w:b/>
                <w:bCs/>
                <w:i/>
                <w:sz w:val="20"/>
                <w:szCs w:val="20"/>
              </w:rPr>
              <w:t>NOTA TÉCNICA N. 04/2015</w:t>
            </w:r>
          </w:p>
        </w:tc>
        <w:tc>
          <w:tcPr>
            <w:tcW w:w="1418" w:type="dxa"/>
            <w:gridSpan w:val="2"/>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center"/>
              <w:rPr>
                <w:rFonts w:ascii="Times New Roman" w:hAnsi="Times New Roman" w:cs="Times New Roman"/>
                <w:i/>
                <w:i/>
                <w:sz w:val="20"/>
                <w:szCs w:val="20"/>
              </w:rPr>
            </w:pPr>
            <w:r>
              <w:rPr>
                <w:rFonts w:cs="Times New Roman" w:ascii="Times New Roman" w:hAnsi="Times New Roman"/>
                <w:i/>
                <w:sz w:val="20"/>
                <w:szCs w:val="20"/>
              </w:rPr>
              <w:t>07/2011</w:t>
            </w:r>
          </w:p>
        </w:tc>
        <w:tc>
          <w:tcPr>
            <w:tcW w:w="1984" w:type="dxa"/>
            <w:gridSpan w:val="2"/>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center"/>
              <w:rPr>
                <w:rFonts w:ascii="Times New Roman" w:hAnsi="Times New Roman" w:cs="Times New Roman"/>
                <w:i/>
                <w:i/>
                <w:sz w:val="20"/>
                <w:szCs w:val="20"/>
              </w:rPr>
            </w:pPr>
            <w:r>
              <w:rPr>
                <w:rFonts w:cs="Times New Roman" w:ascii="Times New Roman" w:hAnsi="Times New Roman"/>
                <w:i/>
                <w:sz w:val="20"/>
                <w:szCs w:val="20"/>
              </w:rPr>
              <w:t>05</w:t>
            </w:r>
          </w:p>
        </w:tc>
        <w:tc>
          <w:tcPr>
            <w:tcW w:w="1701" w:type="dxa"/>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center"/>
              <w:rPr>
                <w:rFonts w:ascii="Times New Roman" w:hAnsi="Times New Roman" w:cs="Times New Roman"/>
                <w:i/>
                <w:i/>
                <w:sz w:val="20"/>
                <w:szCs w:val="20"/>
              </w:rPr>
            </w:pPr>
            <w:r>
              <w:rPr>
                <w:rFonts w:cs="Times New Roman" w:ascii="Times New Roman" w:hAnsi="Times New Roman"/>
                <w:i/>
                <w:sz w:val="20"/>
                <w:szCs w:val="20"/>
              </w:rPr>
              <w:t>04</w:t>
            </w:r>
          </w:p>
        </w:tc>
        <w:tc>
          <w:tcPr>
            <w:tcW w:w="19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8" w:type="dxa"/>
            </w:tcMar>
          </w:tcPr>
          <w:p>
            <w:pPr>
              <w:pStyle w:val="Contedodatabela"/>
              <w:jc w:val="center"/>
              <w:rPr>
                <w:rFonts w:ascii="Times New Roman" w:hAnsi="Times New Roman" w:cs="Times New Roman"/>
                <w:i/>
                <w:i/>
                <w:sz w:val="20"/>
                <w:szCs w:val="20"/>
              </w:rPr>
            </w:pPr>
            <w:r>
              <w:rPr>
                <w:rFonts w:cs="Times New Roman" w:ascii="Times New Roman" w:hAnsi="Times New Roman"/>
                <w:i/>
                <w:sz w:val="20"/>
                <w:szCs w:val="20"/>
              </w:rPr>
              <w:t>80%</w:t>
            </w:r>
          </w:p>
        </w:tc>
      </w:tr>
      <w:tr>
        <w:trPr/>
        <w:tc>
          <w:tcPr>
            <w:tcW w:w="3116" w:type="dxa"/>
            <w:gridSpan w:val="2"/>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center"/>
              <w:rPr>
                <w:rFonts w:ascii="Times New Roman" w:hAnsi="Times New Roman" w:cs="Times New Roman"/>
                <w:i/>
                <w:i/>
                <w:sz w:val="20"/>
                <w:szCs w:val="20"/>
              </w:rPr>
            </w:pPr>
            <w:r>
              <w:rPr>
                <w:rFonts w:cs="Times New Roman" w:ascii="Times New Roman" w:hAnsi="Times New Roman"/>
                <w:i/>
                <w:sz w:val="20"/>
                <w:szCs w:val="20"/>
              </w:rPr>
              <w:t>TOTAL</w:t>
            </w:r>
          </w:p>
        </w:tc>
        <w:tc>
          <w:tcPr>
            <w:tcW w:w="1984" w:type="dxa"/>
            <w:gridSpan w:val="2"/>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center"/>
              <w:rPr>
                <w:rFonts w:ascii="Times New Roman" w:hAnsi="Times New Roman" w:cs="Times New Roman"/>
                <w:i/>
                <w:i/>
                <w:sz w:val="20"/>
                <w:szCs w:val="20"/>
              </w:rPr>
            </w:pPr>
            <w:r>
              <w:rPr>
                <w:rFonts w:cs="Times New Roman" w:ascii="Times New Roman" w:hAnsi="Times New Roman"/>
                <w:i/>
                <w:sz w:val="20"/>
                <w:szCs w:val="20"/>
              </w:rPr>
              <w:t>43</w:t>
            </w:r>
          </w:p>
        </w:tc>
        <w:tc>
          <w:tcPr>
            <w:tcW w:w="1702" w:type="dxa"/>
            <w:gridSpan w:val="2"/>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center"/>
              <w:rPr>
                <w:rFonts w:ascii="Times New Roman" w:hAnsi="Times New Roman" w:cs="Times New Roman"/>
                <w:i/>
                <w:i/>
                <w:sz w:val="20"/>
                <w:szCs w:val="20"/>
              </w:rPr>
            </w:pPr>
            <w:r>
              <w:rPr>
                <w:rFonts w:cs="Times New Roman" w:ascii="Times New Roman" w:hAnsi="Times New Roman"/>
                <w:i/>
                <w:sz w:val="20"/>
                <w:szCs w:val="20"/>
              </w:rPr>
              <w:t>21</w:t>
            </w:r>
          </w:p>
        </w:tc>
        <w:tc>
          <w:tcPr>
            <w:tcW w:w="19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48" w:type="dxa"/>
            </w:tcMar>
          </w:tcPr>
          <w:p>
            <w:pPr>
              <w:pStyle w:val="Contedodatabela"/>
              <w:jc w:val="center"/>
              <w:rPr>
                <w:rFonts w:ascii="Times New Roman" w:hAnsi="Times New Roman" w:cs="Times New Roman"/>
                <w:i/>
                <w:i/>
                <w:sz w:val="20"/>
                <w:szCs w:val="20"/>
              </w:rPr>
            </w:pPr>
            <w:r>
              <w:rPr>
                <w:rFonts w:cs="Times New Roman" w:ascii="Times New Roman" w:hAnsi="Times New Roman"/>
                <w:i/>
                <w:sz w:val="20"/>
                <w:szCs w:val="20"/>
              </w:rPr>
            </w:r>
          </w:p>
        </w:tc>
      </w:tr>
    </w:tbl>
    <w:p>
      <w:pPr>
        <w:pStyle w:val="Normal"/>
        <w:tabs>
          <w:tab w:val="left" w:pos="782" w:leader="none"/>
          <w:tab w:val="right" w:pos="9353" w:leader="none"/>
        </w:tabs>
        <w:jc w:val="both"/>
        <w:rPr>
          <w:i/>
          <w:i/>
          <w:color w:val="000000"/>
        </w:rPr>
      </w:pPr>
      <w:r>
        <w:rPr>
          <w:i/>
          <w:color w:val="000000"/>
        </w:rPr>
      </w:r>
    </w:p>
    <w:p>
      <w:pPr>
        <w:pStyle w:val="Normal"/>
        <w:tabs>
          <w:tab w:val="left" w:pos="782" w:leader="none"/>
          <w:tab w:val="right" w:pos="9353" w:leader="none"/>
        </w:tabs>
        <w:jc w:val="both"/>
        <w:rPr>
          <w:i/>
          <w:i/>
        </w:rPr>
      </w:pPr>
      <w:r>
        <w:rPr>
          <w:i/>
          <w:color w:val="000000"/>
        </w:rPr>
        <w:t xml:space="preserve">Percebe-se que os Relatórios emitidos em exercícios mais remotos estão com o percentual maior de atendimento de recomendações, conforme se verifica nos Relatórios de Auditoria n. 04/2010 e 07/2011. </w:t>
      </w:r>
      <w:r>
        <w:rPr>
          <w:bCs/>
          <w:i/>
          <w:color w:val="000000"/>
          <w:u w:val="single"/>
        </w:rPr>
        <w:t>Tal observância, evidencia que a implementação de algumas recomendações não ocorre de forma imediata, tendo em vista que, às vezes, depende de ações conjuntas e interligadas pelos setores da UFRPE, carecendo de um maior tempo para implementá-las.</w:t>
      </w:r>
    </w:p>
    <w:p>
      <w:pPr>
        <w:pStyle w:val="Normal"/>
        <w:tabs>
          <w:tab w:val="left" w:pos="782" w:leader="none"/>
          <w:tab w:val="right" w:pos="9353" w:leader="none"/>
        </w:tabs>
        <w:jc w:val="both"/>
        <w:rPr>
          <w:i/>
          <w:i/>
        </w:rPr>
      </w:pPr>
      <w:r>
        <w:rPr>
          <w:i/>
          <w:color w:val="000000"/>
        </w:rPr>
        <w:t xml:space="preserve">Informamos, ainda, que as demais recomendações serão verificadas pela AUDIN/UFRPE nas atividades em execução, cujo objeto de auditoria seja o mesmo, com previsão de término para dezembro de 2015, conforme seguem abaixo: </w:t>
      </w:r>
    </w:p>
    <w:tbl>
      <w:tblPr>
        <w:tblW w:w="8474" w:type="dxa"/>
        <w:jc w:val="left"/>
        <w:tblInd w:w="8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noVBand="1" w:val="04a0" w:noHBand="0" w:lastColumn="0" w:firstColumn="1" w:lastRow="0" w:firstRow="1"/>
      </w:tblPr>
      <w:tblGrid>
        <w:gridCol w:w="4788"/>
        <w:gridCol w:w="3685"/>
      </w:tblGrid>
      <w:tr>
        <w:trPr>
          <w:trHeight w:val="663" w:hRule="atLeast"/>
        </w:trPr>
        <w:tc>
          <w:tcPr>
            <w:tcW w:w="4788" w:type="dxa"/>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tabs>
                <w:tab w:val="left" w:pos="782" w:leader="none"/>
                <w:tab w:val="right" w:pos="9353" w:leader="none"/>
              </w:tabs>
              <w:jc w:val="both"/>
              <w:rPr>
                <w:rFonts w:ascii="Times New Roman" w:hAnsi="Times New Roman" w:cs="Times New Roman"/>
                <w:b/>
                <w:b/>
                <w:bCs/>
                <w:i/>
                <w:i/>
                <w:sz w:val="20"/>
                <w:szCs w:val="20"/>
              </w:rPr>
            </w:pPr>
            <w:r>
              <w:rPr>
                <w:rFonts w:cs="Times New Roman" w:ascii="Times New Roman" w:hAnsi="Times New Roman"/>
                <w:b/>
                <w:bCs/>
                <w:i/>
                <w:sz w:val="20"/>
                <w:szCs w:val="20"/>
              </w:rPr>
              <w:t>Nº da Atividade do PAINT/2015 em execução</w:t>
            </w:r>
          </w:p>
        </w:tc>
        <w:tc>
          <w:tcPr>
            <w:tcW w:w="3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0" w:type="dxa"/>
            </w:tcMar>
          </w:tcPr>
          <w:p>
            <w:pPr>
              <w:pStyle w:val="Contedodatabela"/>
              <w:tabs>
                <w:tab w:val="left" w:pos="782" w:leader="none"/>
                <w:tab w:val="right" w:pos="9353" w:leader="none"/>
              </w:tabs>
              <w:jc w:val="both"/>
              <w:rPr>
                <w:rFonts w:ascii="Times New Roman" w:hAnsi="Times New Roman" w:cs="Times New Roman"/>
                <w:b/>
                <w:b/>
                <w:bCs/>
                <w:i/>
                <w:i/>
                <w:sz w:val="20"/>
                <w:szCs w:val="20"/>
              </w:rPr>
            </w:pPr>
            <w:r>
              <w:rPr>
                <w:rFonts w:cs="Times New Roman" w:ascii="Times New Roman" w:hAnsi="Times New Roman"/>
                <w:b/>
                <w:bCs/>
                <w:i/>
                <w:sz w:val="20"/>
                <w:szCs w:val="20"/>
              </w:rPr>
              <w:t>Monitoramento dos Relatórios de Auditoria expedidos em exercícios anteriores.</w:t>
            </w:r>
          </w:p>
        </w:tc>
      </w:tr>
      <w:tr>
        <w:trPr>
          <w:trHeight w:val="663" w:hRule="atLeast"/>
        </w:trPr>
        <w:tc>
          <w:tcPr>
            <w:tcW w:w="4788" w:type="dxa"/>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tabs>
                <w:tab w:val="left" w:pos="782" w:leader="none"/>
                <w:tab w:val="right" w:pos="9353" w:leader="none"/>
              </w:tabs>
              <w:jc w:val="both"/>
              <w:rPr>
                <w:rFonts w:ascii="Times New Roman" w:hAnsi="Times New Roman" w:cs="Times New Roman"/>
                <w:i/>
                <w:i/>
                <w:color w:val="000000"/>
                <w:sz w:val="20"/>
                <w:szCs w:val="20"/>
              </w:rPr>
            </w:pPr>
            <w:r>
              <w:rPr>
                <w:rFonts w:cs="Times New Roman" w:ascii="Times New Roman" w:hAnsi="Times New Roman"/>
                <w:i/>
                <w:color w:val="000000"/>
                <w:sz w:val="20"/>
                <w:szCs w:val="20"/>
              </w:rPr>
              <w:t>10/2015: Auditoria em obras, processos licitatórios correspondentes e avaliação dos critérios de sustentabilidade ambiental das obras auditadas.</w:t>
            </w:r>
          </w:p>
        </w:tc>
        <w:tc>
          <w:tcPr>
            <w:tcW w:w="3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0" w:type="dxa"/>
            </w:tcMar>
          </w:tcPr>
          <w:p>
            <w:pPr>
              <w:pStyle w:val="Contedodatabela"/>
              <w:tabs>
                <w:tab w:val="left" w:pos="782" w:leader="none"/>
                <w:tab w:val="right" w:pos="9353" w:leader="none"/>
              </w:tabs>
              <w:jc w:val="both"/>
              <w:rPr>
                <w:rFonts w:ascii="Times New Roman" w:hAnsi="Times New Roman" w:cs="Times New Roman"/>
                <w:i/>
                <w:i/>
                <w:sz w:val="20"/>
                <w:szCs w:val="20"/>
              </w:rPr>
            </w:pPr>
            <w:r>
              <w:rPr>
                <w:rFonts w:cs="Times New Roman" w:ascii="Times New Roman" w:hAnsi="Times New Roman"/>
                <w:i/>
                <w:sz w:val="20"/>
                <w:szCs w:val="20"/>
              </w:rPr>
              <w:t>RA 06/2011, RA 03/2013 e RA 05/2014.</w:t>
            </w:r>
          </w:p>
        </w:tc>
      </w:tr>
      <w:tr>
        <w:trPr/>
        <w:tc>
          <w:tcPr>
            <w:tcW w:w="4788" w:type="dxa"/>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both"/>
              <w:rPr>
                <w:rFonts w:ascii="Times New Roman" w:hAnsi="Times New Roman" w:cs="Times New Roman"/>
                <w:i/>
                <w:i/>
                <w:sz w:val="20"/>
                <w:szCs w:val="20"/>
              </w:rPr>
            </w:pPr>
            <w:r>
              <w:rPr>
                <w:rFonts w:cs="Times New Roman" w:ascii="Times New Roman" w:hAnsi="Times New Roman"/>
                <w:i/>
                <w:sz w:val="20"/>
                <w:szCs w:val="20"/>
              </w:rPr>
              <w:t>12/2015: Auditoria na Folha de pagamento.</w:t>
            </w:r>
          </w:p>
        </w:tc>
        <w:tc>
          <w:tcPr>
            <w:tcW w:w="3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0" w:type="dxa"/>
            </w:tcMar>
          </w:tcPr>
          <w:p>
            <w:pPr>
              <w:pStyle w:val="Contedodatabela"/>
              <w:jc w:val="both"/>
              <w:rPr>
                <w:rFonts w:ascii="Times New Roman" w:hAnsi="Times New Roman" w:cs="Times New Roman"/>
                <w:i/>
                <w:i/>
                <w:sz w:val="20"/>
                <w:szCs w:val="20"/>
              </w:rPr>
            </w:pPr>
            <w:r>
              <w:rPr>
                <w:rFonts w:cs="Times New Roman" w:ascii="Times New Roman" w:hAnsi="Times New Roman"/>
                <w:i/>
                <w:sz w:val="20"/>
                <w:szCs w:val="20"/>
              </w:rPr>
              <w:t>RA 02/2011, RA 03/2012 e NA 02/2012,</w:t>
            </w:r>
          </w:p>
          <w:p>
            <w:pPr>
              <w:pStyle w:val="Contedodatabela"/>
              <w:jc w:val="both"/>
              <w:rPr>
                <w:rFonts w:ascii="Times New Roman" w:hAnsi="Times New Roman" w:cs="Times New Roman"/>
                <w:i/>
                <w:i/>
                <w:sz w:val="20"/>
                <w:szCs w:val="20"/>
              </w:rPr>
            </w:pPr>
            <w:r>
              <w:rPr>
                <w:rFonts w:cs="Times New Roman" w:ascii="Times New Roman" w:hAnsi="Times New Roman"/>
                <w:i/>
                <w:sz w:val="20"/>
                <w:szCs w:val="20"/>
              </w:rPr>
            </w:r>
          </w:p>
        </w:tc>
      </w:tr>
      <w:tr>
        <w:trPr/>
        <w:tc>
          <w:tcPr>
            <w:tcW w:w="4788" w:type="dxa"/>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both"/>
              <w:rPr>
                <w:rFonts w:ascii="Times New Roman" w:hAnsi="Times New Roman" w:cs="Times New Roman"/>
                <w:i/>
                <w:i/>
                <w:sz w:val="20"/>
                <w:szCs w:val="20"/>
              </w:rPr>
            </w:pPr>
            <w:r>
              <w:rPr>
                <w:rFonts w:cs="Times New Roman" w:ascii="Times New Roman" w:hAnsi="Times New Roman"/>
                <w:i/>
                <w:sz w:val="20"/>
                <w:szCs w:val="20"/>
              </w:rPr>
              <w:t>13/2015: Avaliação da situação das transferências da UFRPE para a Fundação de Apoio (FADURPE).</w:t>
            </w:r>
          </w:p>
        </w:tc>
        <w:tc>
          <w:tcPr>
            <w:tcW w:w="3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0" w:type="dxa"/>
            </w:tcMar>
          </w:tcPr>
          <w:p>
            <w:pPr>
              <w:pStyle w:val="Contedodatabela"/>
              <w:jc w:val="both"/>
              <w:rPr>
                <w:rFonts w:ascii="Times New Roman" w:hAnsi="Times New Roman" w:cs="Times New Roman"/>
                <w:i/>
                <w:i/>
                <w:sz w:val="20"/>
                <w:szCs w:val="20"/>
              </w:rPr>
            </w:pPr>
            <w:r>
              <w:rPr>
                <w:rFonts w:cs="Times New Roman" w:ascii="Times New Roman" w:hAnsi="Times New Roman"/>
                <w:i/>
                <w:sz w:val="20"/>
                <w:szCs w:val="20"/>
              </w:rPr>
              <w:t xml:space="preserve">RA 04/2011, RA 01/2013, </w:t>
            </w:r>
            <w:r>
              <w:rPr>
                <w:rFonts w:cs="Times New Roman" w:ascii="Times New Roman" w:hAnsi="Times New Roman"/>
                <w:i/>
                <w:color w:val="000000"/>
                <w:sz w:val="20"/>
                <w:szCs w:val="20"/>
              </w:rPr>
              <w:t>NT 03/2012 e RA 02/2014.</w:t>
            </w:r>
          </w:p>
          <w:p>
            <w:pPr>
              <w:pStyle w:val="Contedodatabela"/>
              <w:jc w:val="both"/>
              <w:rPr>
                <w:rFonts w:ascii="Times New Roman" w:hAnsi="Times New Roman" w:cs="Times New Roman"/>
                <w:i/>
                <w:i/>
                <w:sz w:val="20"/>
                <w:szCs w:val="20"/>
              </w:rPr>
            </w:pPr>
            <w:r>
              <w:rPr>
                <w:rFonts w:cs="Times New Roman" w:ascii="Times New Roman" w:hAnsi="Times New Roman"/>
                <w:i/>
                <w:sz w:val="20"/>
                <w:szCs w:val="20"/>
              </w:rPr>
            </w:r>
          </w:p>
        </w:tc>
      </w:tr>
      <w:tr>
        <w:trPr/>
        <w:tc>
          <w:tcPr>
            <w:tcW w:w="4788" w:type="dxa"/>
            <w:tcBorders>
              <w:top w:val="single" w:sz="2" w:space="0" w:color="000001"/>
              <w:left w:val="single" w:sz="2" w:space="0" w:color="000001"/>
              <w:bottom w:val="single" w:sz="2" w:space="0" w:color="000001"/>
              <w:insideH w:val="single" w:sz="2" w:space="0" w:color="000001"/>
            </w:tcBorders>
            <w:shd w:color="auto" w:fill="auto" w:val="clear"/>
            <w:tcMar>
              <w:left w:w="48" w:type="dxa"/>
            </w:tcMar>
          </w:tcPr>
          <w:p>
            <w:pPr>
              <w:pStyle w:val="Contedodatabela"/>
              <w:jc w:val="both"/>
              <w:rPr>
                <w:rFonts w:ascii="Times New Roman" w:hAnsi="Times New Roman" w:cs="Times New Roman"/>
                <w:i/>
                <w:i/>
                <w:sz w:val="20"/>
                <w:szCs w:val="20"/>
              </w:rPr>
            </w:pPr>
            <w:r>
              <w:rPr>
                <w:rFonts w:cs="Times New Roman" w:ascii="Times New Roman" w:hAnsi="Times New Roman"/>
                <w:i/>
                <w:sz w:val="20"/>
                <w:szCs w:val="20"/>
              </w:rPr>
              <w:t>14/2015: Avaliação da regularidade dos processos licitatórios realizados pela UFRPE.</w:t>
            </w:r>
          </w:p>
        </w:tc>
        <w:tc>
          <w:tcPr>
            <w:tcW w:w="368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50" w:type="dxa"/>
            </w:tcMar>
          </w:tcPr>
          <w:p>
            <w:pPr>
              <w:pStyle w:val="Contedodatabela"/>
              <w:jc w:val="both"/>
              <w:rPr>
                <w:rFonts w:ascii="Times New Roman" w:hAnsi="Times New Roman" w:cs="Times New Roman"/>
                <w:i/>
                <w:i/>
                <w:sz w:val="20"/>
                <w:szCs w:val="20"/>
              </w:rPr>
            </w:pPr>
            <w:r>
              <w:rPr>
                <w:rFonts w:cs="Times New Roman" w:ascii="Times New Roman" w:hAnsi="Times New Roman"/>
                <w:i/>
                <w:sz w:val="20"/>
                <w:szCs w:val="20"/>
              </w:rPr>
              <w:t>RA 08/2011 e RA 02/2013,</w:t>
            </w:r>
          </w:p>
        </w:tc>
      </w:tr>
    </w:tbl>
    <w:p>
      <w:pPr>
        <w:pStyle w:val="Normal"/>
        <w:spacing w:beforeAutospacing="1" w:after="200"/>
        <w:jc w:val="both"/>
        <w:rPr>
          <w:rFonts w:eastAsia="Times New Roman"/>
          <w:lang w:eastAsia="pt-BR"/>
        </w:rPr>
      </w:pPr>
      <w:r>
        <w:rPr>
          <w:i/>
        </w:rPr>
        <w:t>Em relação aos objetos de auditoria diferentes das atividades de auditoria em execução (descritas no quadro acima), informamos que serão avaliadas as novas manifestações dos gestores, cujas respostas estão sob posse da AUDIN para análise e emissão de Notas Técnicas.</w:t>
      </w:r>
      <w:r>
        <w:rPr/>
        <w:t>”</w:t>
      </w:r>
    </w:p>
    <w:p>
      <w:pPr>
        <w:pStyle w:val="Normal"/>
        <w:spacing w:lineRule="auto" w:line="240" w:beforeAutospacing="1" w:afterAutospacing="1"/>
        <w:contextualSpacing/>
        <w:jc w:val="both"/>
        <w:rPr>
          <w:color w:val="FFFFFF" w:themeColor="background1"/>
          <w:spacing w:val="0"/>
          <w:sz w:val="2"/>
          <w:szCs w:val="2"/>
        </w:rPr>
      </w:pPr>
      <w:r>
        <w:rPr/>
        <w:t xml:space="preserve"> </w:t>
      </w:r>
      <w:r>
        <w:rPr>
          <w:color w:val="FFFFFF" w:themeColor="background1"/>
          <w:spacing w:val="0"/>
          <w:sz w:val="2"/>
          <w:szCs w:val="2"/>
        </w:rPr>
        <w:t>##/ManifestacaoUnidadeExaminada##</w:t>
      </w:r>
    </w:p>
    <w:p>
      <w:pPr>
        <w:pStyle w:val="Normal"/>
        <w:spacing w:lineRule="auto" w:line="240" w:before="0" w:after="0"/>
        <w:rPr>
          <w:rFonts w:ascii="Arial" w:hAnsi="Arial" w:cs="Arial"/>
          <w:b/>
          <w:b/>
        </w:rPr>
      </w:pPr>
      <w:r>
        <w:rPr>
          <w:b/>
        </w:rPr>
        <w:t>Análise do Controle Interno</w:t>
      </w:r>
    </w:p>
    <w:p>
      <w:pPr>
        <w:pStyle w:val="Normal"/>
        <w:spacing w:lineRule="auto" w:line="240" w:before="0" w:after="0"/>
        <w:rPr>
          <w:b/>
          <w:b/>
        </w:rPr>
      </w:pPr>
      <w:r>
        <w:rPr>
          <w:b/>
        </w:rPr>
      </w:r>
    </w:p>
    <w:p>
      <w:pPr>
        <w:pStyle w:val="Normal"/>
        <w:spacing w:before="0" w:after="240"/>
        <w:jc w:val="both"/>
        <w:rPr>
          <w:rFonts w:eastAsia="Times New Roman"/>
          <w:i/>
          <w:i/>
          <w:lang w:eastAsia="pt-BR"/>
        </w:rPr>
      </w:pPr>
      <w:r>
        <w:rPr/>
        <w:t xml:space="preserve">As justificativas apresentadas ratificam a falha apontada, à medida que informa que a </w:t>
      </w:r>
      <w:r>
        <w:rPr>
          <w:bCs/>
          <w:color w:val="000000"/>
        </w:rPr>
        <w:t>implementação de algumas recomendações não ocorre de forma imediata, tendo em vista que, às vezes, depende de ações conjuntas e interligadas pelos setores da UFRPE, carecendo de um maior tempo, contudo entende-se ser necessário um maior empenho dos setores envolvidos visando uma maior tempestividade no cumprimento das recomendações, sob pena de perda de objeto e riscos de prejuízo á UFRPE. Observa-se, por exemplo, que do exercício de 2011, passados quatro anos, o percentual de recomendações atendidas é em torno de 20%.</w:t>
      </w:r>
    </w:p>
    <w:p>
      <w:pPr>
        <w:pStyle w:val="Normal"/>
        <w:spacing w:lineRule="auto" w:line="240" w:beforeAutospacing="1" w:afterAutospacing="1"/>
        <w:contextualSpacing/>
        <w:jc w:val="both"/>
        <w:rPr>
          <w:color w:val="FFFFFF" w:themeColor="background1"/>
          <w:spacing w:val="0"/>
          <w:sz w:val="2"/>
          <w:szCs w:val="2"/>
        </w:rPr>
      </w:pPr>
      <w:r>
        <w:rPr>
          <w:color w:val="FFFFFF" w:themeColor="background1"/>
          <w:spacing w:val="0"/>
          <w:sz w:val="2"/>
          <w:szCs w:val="2"/>
        </w:rPr>
        <w:t>##/AnaliseControleInterno##</w:t>
      </w:r>
    </w:p>
    <w:p>
      <w:pPr>
        <w:pStyle w:val="Normal"/>
        <w:spacing w:lineRule="auto" w:line="240" w:before="0" w:after="0"/>
        <w:jc w:val="both"/>
        <w:rPr>
          <w:b/>
          <w:b/>
        </w:rPr>
      </w:pPr>
      <w:r>
        <w:rPr>
          <w:b/>
        </w:rPr>
        <w:t>Recomendações:</w:t>
      </w:r>
    </w:p>
    <w:p>
      <w:pPr>
        <w:pStyle w:val="Normal"/>
        <w:spacing w:lineRule="auto" w:line="240" w:before="0" w:after="0"/>
        <w:jc w:val="both"/>
        <w:rPr/>
      </w:pPr>
      <w:r>
        <w:rPr/>
        <w:t>Recomendação 1: Recomendamos à AUDIN a inclusão no próximo PAINT de atividade para revisão e verificação da situação das recomendações expedidas a mais de três anos pela Auditoria com a finalidade de verificar a aplicação e  a eficácia de tais recomendações.</w:t>
      </w:r>
    </w:p>
    <w:p>
      <w:pPr>
        <w:pStyle w:val="Normal"/>
        <w:spacing w:lineRule="auto" w:line="240" w:before="0" w:after="0"/>
        <w:jc w:val="both"/>
        <w:rPr/>
      </w:pPr>
      <w:r>
        <w:rPr/>
      </w:r>
    </w:p>
    <w:p>
      <w:pPr>
        <w:pStyle w:val="Normal"/>
        <w:spacing w:lineRule="auto" w:line="240" w:before="0" w:after="0"/>
        <w:jc w:val="both"/>
        <w:rPr/>
      </w:pPr>
      <w:r>
        <w:rPr/>
        <w:t>Recomendação 2: Recomendamos à Reitora, juntamente com os setores envolvidos e a AUDIN, que elaborem um plano de ação nos próximos 90 dias, estabelecendo ações a serem realizados e prazos para cumprimento, de forma a regularizar e implementar as recomendações da AUDIN. Tal plano de ação deve ser apresentado à CGUPE.</w:t>
      </w:r>
    </w:p>
    <w:p>
      <w:pPr>
        <w:pStyle w:val="Normal"/>
        <w:spacing w:lineRule="auto" w:line="240" w:before="0" w:after="0"/>
        <w:jc w:val="both"/>
        <w:rPr/>
      </w:pPr>
      <w:r>
        <w:rPr/>
      </w:r>
    </w:p>
    <w:p>
      <w:pPr>
        <w:pStyle w:val="Normal"/>
        <w:spacing w:lineRule="auto" w:line="240" w:before="0" w:after="0"/>
        <w:jc w:val="both"/>
        <w:rPr>
          <w:rFonts w:eastAsia="Times New Roman"/>
          <w:lang w:eastAsia="pt-BR"/>
        </w:rPr>
      </w:pPr>
      <w:bookmarkStart w:id="0" w:name="bookmark0"/>
      <w:bookmarkStart w:id="1" w:name="bookmark0"/>
      <w:bookmarkEnd w:id="1"/>
      <w:r>
        <w:rPr>
          <w:rFonts w:eastAsia="Times New Roman"/>
          <w:lang w:eastAsia="pt-BR"/>
        </w:rPr>
      </w:r>
    </w:p>
    <w:p>
      <w:pPr>
        <w:pStyle w:val="Normal"/>
        <w:spacing w:lineRule="auto" w:line="240" w:before="0" w:after="0"/>
        <w:rPr>
          <w:rFonts w:eastAsia="Times New Roman"/>
          <w:b/>
          <w:b/>
          <w:lang w:eastAsia="pt-BR"/>
        </w:rPr>
      </w:pPr>
      <w:r>
        <w:rPr>
          <w:rFonts w:eastAsia="Times New Roman"/>
          <w:b/>
          <w:lang w:eastAsia="pt-BR"/>
        </w:rPr>
      </w:r>
    </w:p>
    <w:p>
      <w:pPr>
        <w:pStyle w:val="Normal"/>
        <w:spacing w:lineRule="auto" w:line="240" w:before="0" w:after="0"/>
        <w:rPr>
          <w:rFonts w:eastAsia="Times New Roman"/>
          <w:b/>
          <w:b/>
          <w:lang w:eastAsia="pt-BR"/>
        </w:rPr>
      </w:pPr>
      <w:r>
        <w:rPr>
          <w:rFonts w:eastAsia="Times New Roman"/>
          <w:b/>
          <w:lang w:eastAsia="pt-BR"/>
        </w:rPr>
        <w:t>III – CONCLUSÃO</w:t>
      </w:r>
    </w:p>
    <w:p>
      <w:pPr>
        <w:pStyle w:val="Normal"/>
        <w:spacing w:lineRule="auto" w:line="240" w:before="0" w:after="0"/>
        <w:jc w:val="both"/>
        <w:rPr>
          <w:rFonts w:eastAsia="Times New Roman"/>
          <w:lang w:eastAsia="pt-BR"/>
        </w:rPr>
      </w:pPr>
      <w:r>
        <w:rPr>
          <w:rFonts w:eastAsia="Times New Roman"/>
          <w:lang w:eastAsia="pt-BR"/>
        </w:rPr>
      </w:r>
    </w:p>
    <w:p>
      <w:pPr>
        <w:pStyle w:val="Normal"/>
        <w:rPr>
          <w:sz w:val="16"/>
          <w:szCs w:val="16"/>
        </w:rPr>
      </w:pPr>
      <w:r>
        <w:rPr>
          <w:sz w:val="16"/>
          <w:szCs w:val="16"/>
        </w:rPr>
      </w:r>
    </w:p>
    <w:p>
      <w:pPr>
        <w:pStyle w:val="Normal"/>
        <w:jc w:val="both"/>
        <w:rPr>
          <w:sz w:val="16"/>
          <w:szCs w:val="16"/>
        </w:rPr>
      </w:pPr>
      <w:r>
        <w:rPr/>
        <w:t>Em face dos exames realizados, somos de opinião que a Unidade Gestora deve adotar medidas corretivas com vistas a elidirem os pontos ressalvados nos itens 1.1.13, 1.1.1.4, 1.1.1.5, 1.1.1.7 e 1.1.1.9.</w:t>
      </w:r>
    </w:p>
    <w:p>
      <w:pPr>
        <w:pStyle w:val="Normal"/>
        <w:spacing w:lineRule="auto" w:line="240" w:before="0" w:after="0"/>
        <w:rPr>
          <w:rFonts w:eastAsia="Times New Roman"/>
          <w:lang w:eastAsia="pt-BR"/>
        </w:rPr>
      </w:pPr>
      <w:r>
        <w:rPr>
          <w:rFonts w:eastAsia="Times New Roman"/>
          <w:lang w:eastAsia="pt-BR"/>
        </w:rPr>
      </w:r>
    </w:p>
    <w:p>
      <w:pPr>
        <w:pStyle w:val="Normal"/>
        <w:spacing w:lineRule="auto" w:line="240" w:before="0" w:after="0"/>
        <w:jc w:val="right"/>
        <w:rPr>
          <w:rFonts w:eastAsia="Times New Roman"/>
          <w:lang w:eastAsia="pt-BR"/>
        </w:rPr>
      </w:pPr>
      <w:r>
        <w:rPr>
          <w:rFonts w:eastAsia="Times New Roman"/>
          <w:bCs/>
          <w:lang w:eastAsia="pt-BR"/>
        </w:rPr>
        <w:t>Recife</w:t>
      </w:r>
      <w:r>
        <w:rPr>
          <w:rFonts w:eastAsia="Times New Roman"/>
          <w:lang w:eastAsia="pt-BR"/>
        </w:rPr>
        <w:t>/</w:t>
      </w:r>
      <w:r>
        <w:rPr>
          <w:rFonts w:eastAsia="Times New Roman"/>
          <w:bCs/>
          <w:lang w:eastAsia="pt-BR"/>
        </w:rPr>
        <w:t>PE</w:t>
      </w:r>
      <w:r>
        <w:rPr>
          <w:rFonts w:eastAsia="Times New Roman"/>
          <w:lang w:eastAsia="pt-BR"/>
        </w:rPr>
        <w:t xml:space="preserve">, </w:t>
      </w:r>
      <w:r>
        <w:rPr>
          <w:rFonts w:eastAsia="Times New Roman"/>
          <w:bCs/>
          <w:lang w:eastAsia="pt-BR"/>
        </w:rPr>
        <w:t>03 de novembro de 2015</w:t>
      </w:r>
      <w:r>
        <w:rPr>
          <w:rFonts w:eastAsia="Times New Roman"/>
          <w:lang w:eastAsia="pt-BR"/>
        </w:rPr>
        <w:t>.</w:t>
      </w:r>
    </w:p>
    <w:p>
      <w:pPr>
        <w:pStyle w:val="Normal"/>
        <w:spacing w:lineRule="auto" w:line="240" w:before="0" w:after="0"/>
        <w:rPr>
          <w:rFonts w:eastAsia="Times New Roman"/>
          <w:b/>
          <w:b/>
          <w:bCs/>
          <w:lang w:eastAsia="pt-BR"/>
        </w:rPr>
      </w:pPr>
      <w:r>
        <w:rPr>
          <w:rFonts w:eastAsia="Times New Roman"/>
          <w:b/>
          <w:bCs/>
          <w:lang w:eastAsia="pt-BR"/>
        </w:rPr>
      </w:r>
    </w:p>
    <w:p>
      <w:pPr>
        <w:pStyle w:val="Normal"/>
        <w:spacing w:lineRule="auto" w:line="240" w:before="0" w:after="0"/>
        <w:rPr>
          <w:rFonts w:eastAsia="Times New Roman"/>
          <w:b/>
          <w:b/>
          <w:bCs/>
          <w:lang w:eastAsia="pt-BR"/>
        </w:rPr>
      </w:pPr>
      <w:r>
        <w:rPr>
          <w:rFonts w:eastAsia="Times New Roman"/>
          <w:b/>
          <w:bCs/>
          <w:lang w:eastAsia="pt-BR"/>
        </w:rPr>
        <w:t>Equipe Técnica</w:t>
      </w:r>
    </w:p>
    <w:p>
      <w:pPr>
        <w:pStyle w:val="Normal"/>
        <w:spacing w:lineRule="auto" w:line="240" w:before="0" w:after="0"/>
        <w:rPr/>
      </w:pPr>
      <w:r>
        <w:rPr>
          <w:rFonts w:eastAsia="Times New Roman"/>
          <w:b/>
          <w:bCs/>
          <w:lang w:eastAsia="pt-BR"/>
        </w:rPr>
        <w:t>Nome:</w:t>
      </w:r>
      <w:r>
        <w:rPr>
          <w:rFonts w:eastAsia="Times New Roman"/>
          <w:lang w:eastAsia="pt-BR"/>
        </w:rPr>
        <w:t xml:space="preserve"> ROSAMELIA DUARTE ARAUJO CAMPOS</w:t>
      </w:r>
    </w:p>
    <w:p>
      <w:pPr>
        <w:pStyle w:val="Normal"/>
        <w:spacing w:lineRule="auto" w:line="240" w:before="0" w:after="0"/>
        <w:rPr/>
      </w:pPr>
      <w:r>
        <w:rPr>
          <w:rFonts w:eastAsia="Times New Roman"/>
          <w:b/>
          <w:bCs/>
          <w:lang w:eastAsia="pt-BR"/>
        </w:rPr>
        <w:t>Cargo:</w:t>
      </w:r>
      <w:r>
        <w:rPr>
          <w:rFonts w:eastAsia="Times New Roman"/>
          <w:lang w:eastAsia="pt-BR"/>
        </w:rPr>
        <w:t xml:space="preserve"> ANALISTA DE FINANCAS E CONTROLE</w:t>
      </w:r>
    </w:p>
    <w:p>
      <w:pPr>
        <w:pStyle w:val="Normal"/>
        <w:spacing w:lineRule="auto" w:line="240" w:before="0" w:after="0"/>
        <w:rPr>
          <w:rFonts w:eastAsia="Times New Roman"/>
          <w:b/>
          <w:b/>
          <w:bCs/>
          <w:lang w:eastAsia="pt-BR"/>
        </w:rPr>
      </w:pPr>
      <w:bookmarkStart w:id="2" w:name="_GoBack"/>
      <w:bookmarkStart w:id="3" w:name="_GoBack"/>
      <w:bookmarkEnd w:id="3"/>
      <w:r>
        <w:rPr>
          <w:rFonts w:eastAsia="Times New Roman"/>
          <w:b/>
          <w:bCs/>
          <w:lang w:eastAsia="pt-BR"/>
        </w:rPr>
      </w:r>
    </w:p>
    <w:p>
      <w:pPr>
        <w:pStyle w:val="Normal"/>
        <w:spacing w:lineRule="auto" w:line="240" w:before="0" w:after="0"/>
        <w:rPr>
          <w:rFonts w:eastAsia="Times New Roman"/>
          <w:lang w:eastAsia="pt-BR"/>
        </w:rPr>
      </w:pPr>
      <w:r>
        <w:rPr>
          <w:rFonts w:eastAsia="Times New Roman"/>
          <w:b/>
          <w:bCs/>
          <w:lang w:eastAsia="pt-BR"/>
        </w:rPr>
        <w:t>Assinatura:</w:t>
      </w:r>
      <w:r>
        <w:rPr>
          <w:rFonts w:eastAsia="Times New Roman"/>
          <w:lang w:eastAsia="pt-BR"/>
        </w:rPr>
        <w:t xml:space="preserve"> </w:t>
      </w:r>
    </w:p>
    <w:p>
      <w:pPr>
        <w:pStyle w:val="Normal"/>
        <w:rPr>
          <w:u w:val="single"/>
        </w:rPr>
      </w:pPr>
      <w:r>
        <w:rPr>
          <w:u w:val="single"/>
        </w:rPr>
      </w:r>
    </w:p>
    <w:p>
      <w:pPr>
        <w:pStyle w:val="Normal"/>
        <w:rPr/>
      </w:pPr>
      <w:r>
        <w:rPr/>
      </w:r>
    </w:p>
    <w:sectPr>
      <w:footerReference w:type="default" r:id="rId3"/>
      <w:type w:val="nextPage"/>
      <w:pgSz w:w="11906" w:h="16838"/>
      <w:pgMar w:left="1701" w:right="1701" w:header="0" w:top="426" w:footer="708" w:bottom="993"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Cambria">
    <w:charset w:val="00"/>
    <w:family w:val="roman"/>
    <w:pitch w:val="variable"/>
  </w:font>
  <w:font w:name="Liberation Mono">
    <w:altName w:val="Courier New"/>
    <w:charset w:val="00"/>
    <w:family w:val="roman"/>
    <w:pitch w:val="variable"/>
  </w:font>
  <w:font w:name="Times-Bold">
    <w:charset w:val="00"/>
    <w:family w:val="roman"/>
    <w:pitch w:val="variable"/>
  </w:font>
  <w:font w:name="Arial">
    <w:charset w:val="00"/>
    <w:family w:val="roman"/>
    <w:pitch w:val="variable"/>
  </w:font>
  <w:font w:name="Liberation Sans">
    <w:altName w:val="Arial"/>
    <w:charset w:val="00"/>
    <w:family w:val="roman"/>
    <w:pitch w:val="variable"/>
  </w:font>
  <w:font w:name="Symbol">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drawing>
        <wp:anchor behindDoc="1" distT="0" distB="0" distL="114300" distR="114300" simplePos="0" locked="0" layoutInCell="1" allowOverlap="1" relativeHeight="27">
          <wp:simplePos x="0" y="0"/>
          <wp:positionH relativeFrom="column">
            <wp:posOffset>2609215</wp:posOffset>
          </wp:positionH>
          <wp:positionV relativeFrom="paragraph">
            <wp:posOffset>267335</wp:posOffset>
          </wp:positionV>
          <wp:extent cx="800100" cy="368300"/>
          <wp:effectExtent l="0" t="0" r="0" b="0"/>
          <wp:wrapNone/>
          <wp:docPr id="2" name="Imagem 6" descr="logo portal_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6" descr="logo portal_pb"/>
                  <pic:cNvPicPr>
                    <a:picLocks noChangeAspect="1" noChangeArrowheads="1"/>
                  </pic:cNvPicPr>
                </pic:nvPicPr>
                <pic:blipFill>
                  <a:blip r:embed="rId1"/>
                  <a:stretch>
                    <a:fillRect/>
                  </a:stretch>
                </pic:blipFill>
                <pic:spPr bwMode="auto">
                  <a:xfrm>
                    <a:off x="0" y="0"/>
                    <a:ext cx="800100" cy="368300"/>
                  </a:xfrm>
                  <a:prstGeom prst="rect">
                    <a:avLst/>
                  </a:prstGeom>
                  <a:noFill/>
                  <a:ln w="9525">
                    <a:noFill/>
                    <a:miter lim="800000"/>
                    <a:headEnd/>
                    <a:tailEnd/>
                  </a:ln>
                </pic:spPr>
              </pic:pic>
            </a:graphicData>
          </a:graphic>
        </wp:anchor>
      </w:drawing>
    </w:r>
  </w:p>
  <w:p>
    <w:pPr>
      <w:pStyle w:val="Rodap"/>
      <w:jc w:val="center"/>
      <w:rPr>
        <w:b/>
        <w:b/>
        <w:i/>
        <w:i/>
        <w:color w:val="BFBFBF" w:themeColor="background1" w:themeShade="bf"/>
        <w:sz w:val="18"/>
        <w:szCs w:val="18"/>
      </w:rPr>
    </w:pPr>
    <w:r>
      <w:rPr>
        <w:b/>
        <w:i/>
        <w:color w:val="BFBFBF" w:themeColor="background1" w:themeShade="bf"/>
        <w:sz w:val="18"/>
        <w:szCs w:val="18"/>
      </w:rPr>
      <mc:AlternateContent>
        <mc:Choice Requires="wps">
          <w:drawing>
            <wp:anchor behindDoc="1" distT="0" distB="0" distL="114300" distR="114300" simplePos="0" locked="0" layoutInCell="1" allowOverlap="1" relativeHeight="105">
              <wp:simplePos x="0" y="0"/>
              <wp:positionH relativeFrom="column">
                <wp:posOffset>3460115</wp:posOffset>
              </wp:positionH>
              <wp:positionV relativeFrom="paragraph">
                <wp:posOffset>114935</wp:posOffset>
              </wp:positionV>
              <wp:extent cx="1579880" cy="1270"/>
              <wp:effectExtent l="0" t="0" r="0" b="0"/>
              <wp:wrapNone/>
              <wp:docPr id="3" name="Conector reto 18"/>
              <a:graphic xmlns:a="http://schemas.openxmlformats.org/drawingml/2006/main">
                <a:graphicData uri="http://schemas.microsoft.com/office/word/2010/wordprocessingShape">
                  <wps:wsp>
                    <wps:cNvSpPr/>
                    <wps:spPr>
                      <a:xfrm>
                        <a:off x="0" y="0"/>
                        <a:ext cx="2250360" cy="0"/>
                      </a:xfrm>
                      <a:prstGeom prst="line">
                        <a:avLst/>
                      </a:prstGeom>
                      <a:ln>
                        <a:solidFill>
                          <a:srgbClr val="000000"/>
                        </a:solidFill>
                      </a:ln>
                    </wps:spPr>
                    <wps:bodyPr/>
                  </wps:wsp>
                </a:graphicData>
              </a:graphic>
            </wp:anchor>
          </w:drawing>
        </mc:Choice>
        <mc:Fallback>
          <w:pict>
            <v:line id="shape_0" from="272.45pt,9.05pt" to="449.6pt,9.05pt" ID="Conector reto 18" stroked="t" style="position:absolute">
              <v:stroke color="black" joinstyle="round" endcap="flat"/>
              <v:fill on="false" o:detectmouseclick="t"/>
            </v:line>
          </w:pict>
        </mc:Fallback>
      </mc:AlternateContent>
      <mc:AlternateContent>
        <mc:Choice Requires="wps">
          <w:drawing>
            <wp:anchor behindDoc="1" distT="0" distB="0" distL="114300" distR="114300" simplePos="0" locked="0" layoutInCell="1" allowOverlap="1" relativeHeight="131">
              <wp:simplePos x="0" y="0"/>
              <wp:positionH relativeFrom="column">
                <wp:posOffset>-1270</wp:posOffset>
              </wp:positionH>
              <wp:positionV relativeFrom="paragraph">
                <wp:posOffset>114300</wp:posOffset>
              </wp:positionV>
              <wp:extent cx="1797050" cy="1270"/>
              <wp:effectExtent l="0" t="0" r="0" b="0"/>
              <wp:wrapNone/>
              <wp:docPr id="4" name="Conector reto 17"/>
              <a:graphic xmlns:a="http://schemas.openxmlformats.org/drawingml/2006/main">
                <a:graphicData uri="http://schemas.microsoft.com/office/word/2010/wordprocessingShape">
                  <wps:wsp>
                    <wps:cNvSpPr/>
                    <wps:spPr>
                      <a:xfrm>
                        <a:off x="0" y="0"/>
                        <a:ext cx="2560320" cy="0"/>
                      </a:xfrm>
                      <a:prstGeom prst="line">
                        <a:avLst/>
                      </a:prstGeom>
                      <a:ln>
                        <a:solidFill>
                          <a:srgbClr val="000000"/>
                        </a:solidFill>
                      </a:ln>
                    </wps:spPr>
                    <wps:bodyPr/>
                  </wps:wsp>
                </a:graphicData>
              </a:graphic>
            </wp:anchor>
          </w:drawing>
        </mc:Choice>
        <mc:Fallback>
          <w:pict>
            <v:line id="shape_0" from="-0.1pt,9pt" to="201.45pt,9pt" ID="Conector reto 17" stroked="t" style="position:absolute">
              <v:stroke color="black" joinstyle="round" endcap="flat"/>
              <v:fill on="false" o:detectmouseclick="t"/>
            </v:line>
          </w:pict>
        </mc:Fallback>
      </mc:AlternateContent>
    </w:r>
  </w:p>
  <w:p>
    <w:pPr>
      <w:pStyle w:val="Rodap"/>
      <w:rPr/>
    </w:pPr>
    <w:r>
      <mc:AlternateContent>
        <mc:Choice Requires="wps">
          <w:drawing>
            <wp:anchor behindDoc="1" distT="0" distB="0" distL="114300" distR="114300" simplePos="0" locked="0" layoutInCell="1" allowOverlap="1" relativeHeight="53">
              <wp:simplePos x="0" y="0"/>
              <wp:positionH relativeFrom="column">
                <wp:posOffset>898525</wp:posOffset>
              </wp:positionH>
              <wp:positionV relativeFrom="paragraph">
                <wp:posOffset>9923145</wp:posOffset>
              </wp:positionV>
              <wp:extent cx="1797050" cy="1270"/>
              <wp:effectExtent l="0" t="0" r="0" b="0"/>
              <wp:wrapNone/>
              <wp:docPr id="5" name="Conector reto 11"/>
              <a:graphic xmlns:a="http://schemas.openxmlformats.org/drawingml/2006/main">
                <a:graphicData uri="http://schemas.microsoft.com/office/word/2010/wordprocessingShape">
                  <wps:wsp>
                    <wps:cNvSpPr/>
                    <wps:spPr>
                      <a:xfrm>
                        <a:off x="0" y="0"/>
                        <a:ext cx="2560320" cy="0"/>
                      </a:xfrm>
                      <a:prstGeom prst="line">
                        <a:avLst/>
                      </a:prstGeom>
                      <a:ln>
                        <a:solidFill>
                          <a:srgbClr val="000000"/>
                        </a:solidFill>
                      </a:ln>
                    </wps:spPr>
                    <wps:bodyPr/>
                  </wps:wsp>
                </a:graphicData>
              </a:graphic>
            </wp:anchor>
          </w:drawing>
        </mc:Choice>
        <mc:Fallback>
          <w:pict>
            <v:line id="shape_0" from="70.75pt,781.35pt" to="272.3pt,781.35pt" ID="Conector reto 11" stroked="t" style="position:absolute">
              <v:stroke color="black" joinstyle="round" endcap="flat"/>
              <v:fill on="false" o:detectmouseclick="t"/>
            </v:line>
          </w:pict>
        </mc:Fallback>
      </mc:AlternateContent>
      <mc:AlternateContent>
        <mc:Choice Requires="wps">
          <w:drawing>
            <wp:anchor behindDoc="1" distT="0" distB="0" distL="114300" distR="114300" simplePos="0" locked="0" layoutInCell="1" allowOverlap="1" relativeHeight="79">
              <wp:simplePos x="0" y="0"/>
              <wp:positionH relativeFrom="column">
                <wp:posOffset>898525</wp:posOffset>
              </wp:positionH>
              <wp:positionV relativeFrom="paragraph">
                <wp:posOffset>9923145</wp:posOffset>
              </wp:positionV>
              <wp:extent cx="1797050" cy="1270"/>
              <wp:effectExtent l="0" t="0" r="0" b="0"/>
              <wp:wrapNone/>
              <wp:docPr id="6" name="Conector reto 12"/>
              <a:graphic xmlns:a="http://schemas.openxmlformats.org/drawingml/2006/main">
                <a:graphicData uri="http://schemas.microsoft.com/office/word/2010/wordprocessingShape">
                  <wps:wsp>
                    <wps:cNvSpPr/>
                    <wps:spPr>
                      <a:xfrm>
                        <a:off x="0" y="0"/>
                        <a:ext cx="2560320" cy="0"/>
                      </a:xfrm>
                      <a:prstGeom prst="line">
                        <a:avLst/>
                      </a:prstGeom>
                      <a:ln>
                        <a:solidFill>
                          <a:srgbClr val="000000"/>
                        </a:solidFill>
                      </a:ln>
                    </wps:spPr>
                    <wps:bodyPr/>
                  </wps:wsp>
                </a:graphicData>
              </a:graphic>
            </wp:anchor>
          </w:drawing>
        </mc:Choice>
        <mc:Fallback>
          <w:pict>
            <v:line id="shape_0" from="70.75pt,781.35pt" to="272.3pt,781.35pt" ID="Conector reto 12" stroked="t" style="position:absolute">
              <v:stroke color="black" joinstyle="round" endcap="flat"/>
              <v:fill on="false" o:detectmouseclick="t"/>
            </v:line>
          </w:pict>
        </mc:Fallback>
      </mc:AlternateContent>
      <w:drawing>
        <wp:anchor behindDoc="1" distT="0" distB="0" distL="114300" distR="114300" simplePos="0" locked="0" layoutInCell="1" allowOverlap="1" relativeHeight="158">
          <wp:simplePos x="0" y="0"/>
          <wp:positionH relativeFrom="column">
            <wp:posOffset>2581275</wp:posOffset>
          </wp:positionH>
          <wp:positionV relativeFrom="paragraph">
            <wp:posOffset>-180340</wp:posOffset>
          </wp:positionV>
          <wp:extent cx="800100" cy="368300"/>
          <wp:effectExtent l="0" t="0" r="0" b="0"/>
          <wp:wrapNone/>
          <wp:docPr id="7" name="Imagem 16" descr="logo portal_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6" descr="logo portal_pb"/>
                  <pic:cNvPicPr>
                    <a:picLocks noChangeAspect="1" noChangeArrowheads="1"/>
                  </pic:cNvPicPr>
                </pic:nvPicPr>
                <pic:blipFill>
                  <a:blip r:embed="rId2"/>
                  <a:stretch>
                    <a:fillRect/>
                  </a:stretch>
                </pic:blipFill>
                <pic:spPr bwMode="auto">
                  <a:xfrm>
                    <a:off x="0" y="0"/>
                    <a:ext cx="800100" cy="368300"/>
                  </a:xfrm>
                  <a:prstGeom prst="rect">
                    <a:avLst/>
                  </a:prstGeom>
                  <a:noFill/>
                  <a:ln w="9525">
                    <a:noFill/>
                    <a:miter lim="800000"/>
                    <a:headEnd/>
                    <a:tailEnd/>
                  </a:ln>
                </pic:spPr>
              </pic:pic>
            </a:graphicData>
          </a:graphic>
        </wp:anchor>
      </w:drawing>
    </w:r>
    <w:r>
      <w:rPr>
        <w:b/>
        <w:i/>
        <w:color w:val="BFBFBF" w:themeColor="background1" w:themeShade="bf"/>
        <w:sz w:val="18"/>
        <w:szCs w:val="18"/>
      </w:rPr>
      <w:t xml:space="preserve"> </w:t>
    </w:r>
    <w:r>
      <w:rPr>
        <w:b/>
        <w:i/>
        <w:color w:val="BFBFBF" w:themeColor="background1" w:themeShade="bf"/>
        <w:sz w:val="18"/>
        <w:szCs w:val="18"/>
      </w:rPr>
      <w:t xml:space="preserve">   </w:t>
    </w:r>
    <w:r>
      <w:rPr>
        <w:b/>
        <w:i/>
        <w:sz w:val="18"/>
        <w:szCs w:val="18"/>
      </w:rPr>
      <w:t xml:space="preserve">Dinheiro público é da sua conta           </w:t>
      <w:tab/>
      <w:tab/>
      <w:t xml:space="preserve">                                            </w:t>
    </w:r>
    <w:hyperlink r:id="rId3">
      <w:r>
        <w:rPr>
          <w:rStyle w:val="LinkdaInternet"/>
          <w:i/>
          <w:sz w:val="18"/>
          <w:szCs w:val="18"/>
        </w:rPr>
        <w:t>www.portaldatransparencia.gov.br</w:t>
      </w:r>
    </w:hyperlink>
  </w:p>
  <w:sdt>
    <w:sdtPr>
      <w:docPartObj>
        <w:docPartGallery w:val="Page Numbers (Bottom of Page)"/>
        <w:docPartUnique w:val=""/>
      </w:docPartObj>
      <w:id w:val="915970993"/>
    </w:sdtPr>
    <w:sdtContent>
      <w:p>
        <w:pPr>
          <w:pStyle w:val="Rodap"/>
          <w:tabs>
            <w:tab w:val="center" w:pos="4252" w:leader="none"/>
            <w:tab w:val="right" w:pos="9639" w:leader="none"/>
          </w:tabs>
          <w:ind w:right="0" w:hanging="0"/>
          <w:jc w:val="right"/>
          <w:rPr/>
        </w:pPr>
        <w:r>
          <w:rPr>
            <w:sz w:val="20"/>
            <w:szCs w:val="20"/>
          </w:rPr>
          <w:fldChar w:fldCharType="begin"/>
        </w:r>
        <w:r>
          <w:instrText> PAGE </w:instrText>
        </w:r>
        <w:r>
          <w:fldChar w:fldCharType="separate"/>
        </w:r>
        <w:r>
          <w:t>1</w:t>
        </w:r>
        <w:r>
          <w:fldChar w:fldCharType="end"/>
        </w:r>
      </w:p>
    </w:sdtContent>
  </w:sdt>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1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t-BR" w:eastAsia="en-US" w:bidi="ar-SA"/>
      </w:rPr>
    </w:rPrDefault>
    <w:pPrDefault>
      <w:pPr>
        <w:spacing w:lineRule="auto" w:line="276"/>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e511c"/>
    <w:pPr>
      <w:widowControl/>
      <w:suppressAutoHyphens w:val="true"/>
      <w:bidi w:val="0"/>
      <w:spacing w:lineRule="auto" w:line="276" w:before="0" w:after="200"/>
      <w:jc w:val="left"/>
    </w:pPr>
    <w:rPr>
      <w:rFonts w:ascii="Times New Roman" w:hAnsi="Times New Roman" w:cs="Times New Roman" w:eastAsia="Calibri" w:eastAsiaTheme="minorHAnsi"/>
      <w:color w:val="auto"/>
      <w:sz w:val="24"/>
      <w:szCs w:val="24"/>
      <w:lang w:val="pt-BR" w:eastAsia="en-US" w:bidi="ar-SA"/>
    </w:rPr>
  </w:style>
  <w:style w:type="paragraph" w:styleId="Ttulo1">
    <w:name w:val="Título 1"/>
    <w:basedOn w:val="Normal"/>
    <w:next w:val="Normal"/>
    <w:link w:val="Ttulo1Char"/>
    <w:uiPriority w:val="9"/>
    <w:qFormat/>
    <w:rsid w:val="00172223"/>
    <w:pPr>
      <w:keepNext/>
      <w:keepLines/>
      <w:spacing w:before="480" w:after="0"/>
      <w:outlineLvl w:val="0"/>
    </w:pPr>
    <w:rPr>
      <w:rFonts w:eastAsia="" w:cs="" w:cstheme="majorBidi" w:eastAsiaTheme="majorEastAsia"/>
      <w:b/>
      <w:bCs/>
      <w:sz w:val="28"/>
      <w:szCs w:val="28"/>
    </w:rPr>
  </w:style>
  <w:style w:type="character" w:styleId="DefaultParagraphFont" w:default="1">
    <w:name w:val="Default Paragraph Font"/>
    <w:uiPriority w:val="1"/>
    <w:semiHidden/>
    <w:unhideWhenUsed/>
    <w:qFormat/>
    <w:rPr/>
  </w:style>
  <w:style w:type="character" w:styleId="TextodebaloChar" w:customStyle="1">
    <w:name w:val="Texto de balão Char"/>
    <w:basedOn w:val="DefaultParagraphFont"/>
    <w:link w:val="Textodebalo"/>
    <w:uiPriority w:val="99"/>
    <w:semiHidden/>
    <w:qFormat/>
    <w:rsid w:val="00ae511c"/>
    <w:rPr>
      <w:rFonts w:ascii="Tahoma" w:hAnsi="Tahoma" w:cs="Tahoma"/>
      <w:sz w:val="16"/>
      <w:szCs w:val="16"/>
    </w:rPr>
  </w:style>
  <w:style w:type="character" w:styleId="CabealhoChar" w:customStyle="1">
    <w:name w:val="Cabeçalho Char"/>
    <w:basedOn w:val="DefaultParagraphFont"/>
    <w:link w:val="Cabealho"/>
    <w:uiPriority w:val="99"/>
    <w:qFormat/>
    <w:rsid w:val="00187197"/>
    <w:rPr>
      <w:rFonts w:ascii="Times New Roman" w:hAnsi="Times New Roman" w:cs="Times New Roman"/>
      <w:sz w:val="24"/>
      <w:szCs w:val="24"/>
    </w:rPr>
  </w:style>
  <w:style w:type="character" w:styleId="RodapChar" w:customStyle="1">
    <w:name w:val="Rodapé Char"/>
    <w:basedOn w:val="DefaultParagraphFont"/>
    <w:link w:val="Rodap"/>
    <w:uiPriority w:val="99"/>
    <w:qFormat/>
    <w:rsid w:val="00187197"/>
    <w:rPr>
      <w:rFonts w:ascii="Times New Roman" w:hAnsi="Times New Roman" w:cs="Times New Roman"/>
      <w:sz w:val="24"/>
      <w:szCs w:val="24"/>
    </w:rPr>
  </w:style>
  <w:style w:type="character" w:styleId="LinkdaInternet">
    <w:name w:val="Link da Internet"/>
    <w:basedOn w:val="DefaultParagraphFont"/>
    <w:uiPriority w:val="99"/>
    <w:unhideWhenUsed/>
    <w:rsid w:val="00187197"/>
    <w:rPr>
      <w:color w:val="0000FF" w:themeColor="hyperlink"/>
      <w:u w:val="single"/>
    </w:rPr>
  </w:style>
  <w:style w:type="character" w:styleId="TtuloChar" w:customStyle="1">
    <w:name w:val="Título Char"/>
    <w:basedOn w:val="DefaultParagraphFont"/>
    <w:link w:val="Ttulo"/>
    <w:uiPriority w:val="10"/>
    <w:qFormat/>
    <w:rsid w:val="00172223"/>
    <w:rPr>
      <w:rFonts w:ascii="Times New Roman" w:hAnsi="Times New Roman" w:eastAsia="" w:cs="" w:cstheme="majorBidi" w:eastAsiaTheme="majorEastAsia"/>
      <w:spacing w:val="5"/>
      <w:sz w:val="52"/>
      <w:szCs w:val="52"/>
    </w:rPr>
  </w:style>
  <w:style w:type="character" w:styleId="Ttulo1Char" w:customStyle="1">
    <w:name w:val="Título 1 Char"/>
    <w:basedOn w:val="DefaultParagraphFont"/>
    <w:link w:val="Ttulo1"/>
    <w:uiPriority w:val="9"/>
    <w:qFormat/>
    <w:rsid w:val="00172223"/>
    <w:rPr>
      <w:rFonts w:ascii="Times New Roman" w:hAnsi="Times New Roman" w:eastAsia="" w:cs="" w:cstheme="majorBidi" w:eastAsiaTheme="majorEastAsia"/>
      <w:b/>
      <w:bCs/>
      <w:sz w:val="28"/>
      <w:szCs w:val="28"/>
    </w:rPr>
  </w:style>
  <w:style w:type="character" w:styleId="ListLabel1">
    <w:name w:val="ListLabel 1"/>
    <w:qFormat/>
    <w:rPr>
      <w:sz w:val="20"/>
    </w:rPr>
  </w:style>
  <w:style w:type="paragraph" w:styleId="Ttulo">
    <w:name w:val="Título"/>
    <w:basedOn w:val="Normal"/>
    <w:next w:val="Corpodotexto"/>
    <w:qFormat/>
    <w:pPr>
      <w:keepNext/>
      <w:spacing w:before="240" w:after="120"/>
    </w:pPr>
    <w:rPr>
      <w:rFonts w:ascii="Liberation Sans" w:hAnsi="Liberation Sans" w:eastAsia="Microsoft YaHei" w:cs="Mangal"/>
      <w:sz w:val="28"/>
      <w:szCs w:val="28"/>
    </w:rPr>
  </w:style>
  <w:style w:type="paragraph" w:styleId="Corpodotexto">
    <w:name w:val="Corpo do texto"/>
    <w:basedOn w:val="Normal"/>
    <w:pPr>
      <w:spacing w:lineRule="auto" w:line="288" w:before="0" w:after="140"/>
    </w:pPr>
    <w:rPr/>
  </w:style>
  <w:style w:type="paragraph" w:styleId="Lista">
    <w:name w:val="Lista"/>
    <w:basedOn w:val="Corpodotexto"/>
    <w:pPr/>
    <w:rPr>
      <w:rFonts w:cs="Mangal"/>
    </w:rPr>
  </w:style>
  <w:style w:type="paragraph" w:styleId="Legenda">
    <w:name w:val="Legenda"/>
    <w:basedOn w:val="Normal"/>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BalloonText">
    <w:name w:val="Balloon Text"/>
    <w:basedOn w:val="Normal"/>
    <w:link w:val="TextodebaloChar"/>
    <w:uiPriority w:val="99"/>
    <w:semiHidden/>
    <w:unhideWhenUsed/>
    <w:qFormat/>
    <w:rsid w:val="00ae511c"/>
    <w:pPr>
      <w:spacing w:lineRule="auto" w:line="240" w:before="0" w:after="0"/>
    </w:pPr>
    <w:rPr>
      <w:rFonts w:ascii="Tahoma" w:hAnsi="Tahoma" w:cs="Tahoma"/>
      <w:sz w:val="16"/>
      <w:szCs w:val="16"/>
    </w:rPr>
  </w:style>
  <w:style w:type="paragraph" w:styleId="Cabealho">
    <w:name w:val="Cabeçalho"/>
    <w:basedOn w:val="Normal"/>
    <w:link w:val="CabealhoChar"/>
    <w:uiPriority w:val="99"/>
    <w:unhideWhenUsed/>
    <w:rsid w:val="00187197"/>
    <w:pPr>
      <w:tabs>
        <w:tab w:val="center" w:pos="4252" w:leader="none"/>
        <w:tab w:val="right" w:pos="8504" w:leader="none"/>
      </w:tabs>
      <w:spacing w:lineRule="auto" w:line="240" w:before="0" w:after="0"/>
    </w:pPr>
    <w:rPr/>
  </w:style>
  <w:style w:type="paragraph" w:styleId="Rodap">
    <w:name w:val="Rodapé"/>
    <w:basedOn w:val="Normal"/>
    <w:link w:val="RodapChar"/>
    <w:uiPriority w:val="99"/>
    <w:unhideWhenUsed/>
    <w:rsid w:val="00187197"/>
    <w:pPr>
      <w:tabs>
        <w:tab w:val="center" w:pos="4252" w:leader="none"/>
        <w:tab w:val="right" w:pos="8504" w:leader="none"/>
      </w:tabs>
      <w:spacing w:lineRule="auto" w:line="240" w:before="0" w:after="0"/>
    </w:pPr>
    <w:rPr/>
  </w:style>
  <w:style w:type="paragraph" w:styleId="Ttulododocumento">
    <w:name w:val="Título do documento"/>
    <w:basedOn w:val="Normal"/>
    <w:next w:val="Normal"/>
    <w:link w:val="TtuloChar"/>
    <w:uiPriority w:val="10"/>
    <w:qFormat/>
    <w:rsid w:val="00172223"/>
    <w:pPr>
      <w:pBdr>
        <w:bottom w:val="single" w:sz="8" w:space="4" w:color="4F81BD"/>
      </w:pBdr>
      <w:spacing w:lineRule="auto" w:line="240" w:before="0" w:after="300"/>
      <w:contextualSpacing/>
    </w:pPr>
    <w:rPr>
      <w:rFonts w:eastAsia="" w:cs="" w:cstheme="majorBidi" w:eastAsiaTheme="majorEastAsia"/>
      <w:spacing w:val="5"/>
      <w:sz w:val="52"/>
      <w:szCs w:val="52"/>
    </w:rPr>
  </w:style>
  <w:style w:type="paragraph" w:styleId="ListParagraph">
    <w:name w:val="List Paragraph"/>
    <w:basedOn w:val="Normal"/>
    <w:uiPriority w:val="34"/>
    <w:qFormat/>
    <w:rsid w:val="0046093e"/>
    <w:pPr>
      <w:spacing w:lineRule="auto" w:line="240" w:before="0" w:after="200"/>
      <w:ind w:left="720" w:hanging="0"/>
      <w:contextualSpacing/>
    </w:pPr>
    <w:rPr>
      <w:rFonts w:ascii="Calibri" w:hAnsi="Calibri" w:asciiTheme="minorHAnsi" w:hAnsiTheme="minorHAnsi"/>
      <w:sz w:val="22"/>
    </w:rPr>
  </w:style>
  <w:style w:type="paragraph" w:styleId="Western" w:customStyle="1">
    <w:name w:val="western"/>
    <w:basedOn w:val="Normal"/>
    <w:qFormat/>
    <w:rsid w:val="006c3714"/>
    <w:pPr>
      <w:spacing w:lineRule="auto" w:line="288" w:beforeAutospacing="1" w:after="142"/>
    </w:pPr>
    <w:rPr>
      <w:rFonts w:eastAsia="Times New Roman"/>
      <w:lang w:eastAsia="pt-BR"/>
    </w:rPr>
  </w:style>
  <w:style w:type="paragraph" w:styleId="Standard" w:customStyle="1">
    <w:name w:val="Standard"/>
    <w:qFormat/>
    <w:rsid w:val="00851eaf"/>
    <w:pPr>
      <w:widowControl w:val="false"/>
      <w:suppressAutoHyphens w:val="true"/>
      <w:bidi w:val="0"/>
      <w:spacing w:lineRule="auto" w:line="240" w:before="0" w:after="0"/>
      <w:jc w:val="left"/>
      <w:textAlignment w:val="baseline"/>
    </w:pPr>
    <w:rPr>
      <w:rFonts w:ascii="Times New Roman" w:hAnsi="Times New Roman" w:eastAsia="Lucida Sans Unicode" w:cs="Tahoma"/>
      <w:color w:val="auto"/>
      <w:sz w:val="24"/>
      <w:szCs w:val="24"/>
      <w:lang w:eastAsia="zh-CN" w:bidi="hi-IN" w:val="pt-BR"/>
    </w:rPr>
  </w:style>
  <w:style w:type="paragraph" w:styleId="Contedodatabela" w:customStyle="1">
    <w:name w:val="Conteúdo da tabela"/>
    <w:basedOn w:val="Normal"/>
    <w:qFormat/>
    <w:rsid w:val="00a93a0f"/>
    <w:pPr>
      <w:widowControl w:val="false"/>
      <w:suppressLineNumbers/>
      <w:suppressAutoHyphens w:val="true"/>
      <w:spacing w:lineRule="auto" w:line="240" w:before="0" w:after="0"/>
    </w:pPr>
    <w:rPr>
      <w:rFonts w:ascii="Liberation Serif" w:hAnsi="Liberation Serif" w:eastAsia="SimSun" w:cs="Mangal"/>
      <w:color w:val="00000A"/>
      <w:lang w:eastAsia="zh-CN" w:bidi="hi-IN"/>
    </w:rPr>
  </w:style>
  <w:style w:type="paragraph" w:styleId="Default" w:customStyle="1">
    <w:name w:val="Default"/>
    <w:qFormat/>
    <w:rsid w:val="00851eaf"/>
    <w:pPr>
      <w:widowControl/>
      <w:suppressAutoHyphens w:val="true"/>
      <w:bidi w:val="0"/>
      <w:spacing w:lineRule="auto" w:line="240" w:before="0" w:after="0"/>
      <w:jc w:val="left"/>
    </w:pPr>
    <w:rPr>
      <w:rFonts w:ascii="Cambria" w:hAnsi="Cambria" w:eastAsia="Lucida Sans Unicode" w:cs="Cambria"/>
      <w:color w:val="000000"/>
      <w:sz w:val="24"/>
      <w:szCs w:val="24"/>
      <w:lang w:eastAsia="pt-BR" w:val="pt-BR" w:bidi="ar-SA"/>
    </w:rPr>
  </w:style>
  <w:style w:type="paragraph" w:styleId="Textbody" w:customStyle="1">
    <w:name w:val="Text body"/>
    <w:basedOn w:val="Standard"/>
    <w:qFormat/>
    <w:rsid w:val="007730f5"/>
    <w:pPr>
      <w:spacing w:before="0" w:after="120"/>
    </w:pPr>
    <w:rPr/>
  </w:style>
  <w:style w:type="paragraph" w:styleId="Textoprformatado" w:customStyle="1">
    <w:name w:val="Texto préformatado"/>
    <w:basedOn w:val="Standard"/>
    <w:qFormat/>
    <w:rsid w:val="00e8784d"/>
    <w:pPr/>
    <w:rPr>
      <w:rFonts w:ascii="Liberation Mono" w:hAnsi="Liberation Mono" w:eastAsia="NSimSun" w:cs="Liberation Mono"/>
      <w:sz w:val="20"/>
      <w:szCs w:val="20"/>
    </w:rPr>
  </w:style>
  <w:style w:type="paragraph" w:styleId="TITULO2" w:customStyle="1">
    <w:name w:val="TITULO 2"/>
    <w:basedOn w:val="Normal"/>
    <w:qFormat/>
    <w:rsid w:val="000f254d"/>
    <w:pPr>
      <w:widowControl w:val="false"/>
      <w:suppressAutoHyphens w:val="true"/>
      <w:spacing w:lineRule="auto" w:line="360" w:before="120" w:after="240"/>
      <w:ind w:left="851" w:hanging="0"/>
      <w:jc w:val="both"/>
    </w:pPr>
    <w:rPr>
      <w:rFonts w:eastAsia="Times New Roman" w:cs="Arial"/>
      <w:b/>
      <w:bCs/>
      <w:color w:val="000000"/>
      <w:lang w:eastAsia="zh-CN" w:bidi="hi-IN"/>
    </w:rPr>
  </w:style>
  <w:style w:type="numbering" w:styleId="NoList" w:default="1">
    <w:name w:val="No List"/>
    <w:uiPriority w:val="99"/>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59"/>
    <w:rsid w:val="00384064"/>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 Id="rId3" Type="http://schemas.openxmlformats.org/officeDocument/2006/relationships/hyperlink" Target="http://www.portaldatransparencia.gov.br/" TargetMode="Externa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Props1.xml><?xml version="1.0" encoding="utf-8"?>
<ds:datastoreItem xmlns:ds="http://schemas.openxmlformats.org/officeDocument/2006/customXml" ds:itemID="{9F65293E-AC70-4459-B7C3-C0C494163F12}">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LibreOffice/4.4.0.3$Windows_x86 LibreOffice_project/de093506bcdc5fafd9023ee680b8c60e3e0645d7</Application>
  <Paragraphs>716</Paragraphs>
  <Company>Controladoria-Geral da União</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2015-11-04T12:24:00Z</dcterms:created>
  <dc:creator>Heleno Vieira Borges</dc:creator>
  <dc:language>pt-BR</dc:language>
  <cp:lastModifiedBy>rosameli</cp:lastModifiedBy>
  <dcterms:modified xsi:type="dcterms:W3CDTF">2015-11-04T12:24:00Z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Controladoria-Geral da União</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