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C" w:rsidRDefault="00AE511C" w:rsidP="00AE5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AE511C" w:rsidRDefault="00187197" w:rsidP="00AE51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position w:val="-20"/>
          <w:sz w:val="22"/>
          <w:lang w:eastAsia="pt-BR"/>
        </w:rPr>
        <w:drawing>
          <wp:inline distT="0" distB="0" distL="0" distR="0">
            <wp:extent cx="902970" cy="880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PRESIDÊNCIA DA REPÚBLICA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CONTROLADORIA-GERAL DA UNIÃO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SECRETARIA FEDERAL DE CONTROLE INTERNO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187197" w:rsidRDefault="00187197" w:rsidP="00AE511C">
      <w:pPr>
        <w:spacing w:after="0" w:line="240" w:lineRule="auto"/>
        <w:rPr>
          <w:rFonts w:eastAsia="Times New Roman"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5462A6">
              <w:rPr>
                <w:rFonts w:eastAsia="Times New Roman"/>
                <w:bCs/>
                <w:lang w:eastAsia="pt-BR"/>
              </w:rPr>
              <w:t>Unidade Auditada: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UNIVERSIDADE FEDERAL RURAL DE PERNAMBUCO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Município - UF: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Recife</w:t>
            </w:r>
            <w:r w:rsidR="00384064" w:rsidRPr="00066392">
              <w:t xml:space="preserve"> </w:t>
            </w:r>
            <w:r w:rsidR="00384064" w:rsidRPr="00066392">
              <w:rPr>
                <w:rFonts w:eastAsia="Times New Roman"/>
                <w:lang w:eastAsia="pt-BR"/>
              </w:rPr>
              <w:t xml:space="preserve">- </w:t>
            </w:r>
            <w:r>
              <w:rPr>
                <w:rFonts w:eastAsia="Times New Roman"/>
                <w:bCs/>
                <w:lang w:eastAsia="pt-BR"/>
              </w:rPr>
              <w:t>PE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Relatório nº: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201504964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UCI Executora: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CONTROLADORIA REGIONAL DA UNIÃO NO ESTADO DE PERNAMBUCO</w:t>
            </w:r>
          </w:p>
        </w:tc>
      </w:tr>
    </w:tbl>
    <w:p w:rsidR="00384064" w:rsidRDefault="00384064" w:rsidP="00AE511C">
      <w:pPr>
        <w:spacing w:after="0" w:line="240" w:lineRule="auto"/>
        <w:rPr>
          <w:rFonts w:eastAsia="Times New Roman"/>
          <w:bCs/>
          <w:lang w:eastAsia="pt-BR"/>
        </w:rPr>
      </w:pPr>
    </w:p>
    <w:p w:rsidR="00821774" w:rsidRDefault="00821774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:rsidR="00AE511C" w:rsidRPr="00567E1F" w:rsidRDefault="00AE511C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  <w:r w:rsidRPr="00567E1F">
        <w:rPr>
          <w:rFonts w:eastAsia="Times New Roman"/>
          <w:b/>
          <w:lang w:eastAsia="pt-BR"/>
        </w:rPr>
        <w:t>RELATÓRIO DE AUDITORIA</w:t>
      </w:r>
    </w:p>
    <w:p w:rsidR="00AE511C" w:rsidRPr="00066392" w:rsidRDefault="00AE511C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66392" w:rsidRDefault="00443368" w:rsidP="00AE511C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Senhor Chefe da CGU-Regional/PE</w:t>
      </w:r>
      <w:r w:rsidR="00AE511C" w:rsidRPr="00066392">
        <w:rPr>
          <w:rFonts w:eastAsia="Times New Roman"/>
          <w:lang w:eastAsia="pt-BR"/>
        </w:rPr>
        <w:t xml:space="preserve">, </w:t>
      </w:r>
      <w:bookmarkStart w:id="0" w:name="_GoBack"/>
      <w:bookmarkEnd w:id="0"/>
    </w:p>
    <w:p w:rsidR="00D83A67" w:rsidRDefault="00D83A67" w:rsidP="00384064">
      <w:pPr>
        <w:spacing w:after="0"/>
        <w:jc w:val="both"/>
        <w:rPr>
          <w:noProof/>
        </w:rPr>
      </w:pPr>
    </w:p>
    <w:p w:rsidR="00172223" w:rsidRDefault="005E1229" w:rsidP="00172223">
      <w:pPr>
        <w:rPr>
          <w:sz w:val="16"/>
          <w:szCs w:val="16"/>
        </w:rPr>
      </w:pPr>
    </w:p>
    <w:p w:rsidR="00172223" w:rsidRPr="00172223" w:rsidRDefault="005E1229" w:rsidP="00DB523C">
      <w:pPr>
        <w:jc w:val="both"/>
        <w:rPr>
          <w:sz w:val="16"/>
          <w:szCs w:val="16"/>
        </w:rPr>
      </w:pPr>
      <w:r w:rsidRPr="00EA2E1E">
        <w:t>Em atendimento à determinação contida na Ordem de Serviço nº 2015049</w:t>
      </w:r>
      <w:r>
        <w:t>6</w:t>
      </w:r>
      <w:r>
        <w:t>4</w:t>
      </w:r>
      <w:r w:rsidRPr="00EA2E1E">
        <w:t xml:space="preserve">, apresentamos os resultados dos exames realizados sob atos e consequentes fatos </w:t>
      </w:r>
      <w:proofErr w:type="gramStart"/>
      <w:r w:rsidRPr="00EA2E1E">
        <w:t>de</w:t>
      </w:r>
      <w:proofErr w:type="gramEnd"/>
      <w:r w:rsidRPr="00EA2E1E">
        <w:t xml:space="preserve"> </w:t>
      </w:r>
      <w:proofErr w:type="gramStart"/>
      <w:r w:rsidRPr="00EA2E1E">
        <w:t>gestão</w:t>
      </w:r>
      <w:proofErr w:type="gramEnd"/>
      <w:r w:rsidRPr="00EA2E1E">
        <w:t xml:space="preserve">, ocorridos na </w:t>
      </w:r>
      <w:proofErr w:type="spellStart"/>
      <w:r w:rsidRPr="00EA2E1E">
        <w:t>supra-referida</w:t>
      </w:r>
      <w:proofErr w:type="spellEnd"/>
      <w:r w:rsidRPr="00EA2E1E">
        <w:t xml:space="preserve">, no período </w:t>
      </w:r>
      <w:r>
        <w:t xml:space="preserve">de </w:t>
      </w:r>
      <w:r w:rsidRPr="00EA2E1E">
        <w:t>2</w:t>
      </w:r>
      <w:r>
        <w:t xml:space="preserve"> de janeiro de </w:t>
      </w:r>
      <w:r w:rsidRPr="00EA2E1E">
        <w:t>2014 a 31</w:t>
      </w:r>
      <w:r>
        <w:t xml:space="preserve"> de agosto de </w:t>
      </w:r>
      <w:r w:rsidRPr="00EA2E1E">
        <w:t>2015.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 – ESCOPO DO TRABALHO</w:t>
      </w:r>
    </w:p>
    <w:p w:rsid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5E1229" w:rsidP="00172223">
      <w:pPr>
        <w:rPr>
          <w:sz w:val="16"/>
          <w:szCs w:val="16"/>
        </w:rPr>
      </w:pPr>
    </w:p>
    <w:p w:rsidR="00172223" w:rsidRPr="00172223" w:rsidRDefault="005E1229" w:rsidP="00DB523C">
      <w:pPr>
        <w:jc w:val="both"/>
        <w:rPr>
          <w:sz w:val="16"/>
          <w:szCs w:val="16"/>
        </w:rPr>
      </w:pPr>
      <w:r w:rsidRPr="00EA2E1E">
        <w:t xml:space="preserve">Os trabalhos foram realizados no período de </w:t>
      </w:r>
      <w:r>
        <w:t xml:space="preserve">21 de setembro a </w:t>
      </w:r>
      <w:r>
        <w:t>10</w:t>
      </w:r>
      <w:r>
        <w:t xml:space="preserve"> de novembro de 2015</w:t>
      </w:r>
      <w:r w:rsidRPr="00EA2E1E">
        <w:t xml:space="preserve">, em estrita observância às normas de auditoria aplicáveis ao serviço público federal, objetivando o acompanhamento preventivo dos atos e fatos de gestão ocorridos no período de abrangência do trabalho, qual seja, </w:t>
      </w:r>
      <w:proofErr w:type="gramStart"/>
      <w:r w:rsidRPr="00EA2E1E">
        <w:t>2</w:t>
      </w:r>
      <w:proofErr w:type="gramEnd"/>
      <w:r>
        <w:t xml:space="preserve"> d</w:t>
      </w:r>
      <w:r>
        <w:t xml:space="preserve">e janeiro de </w:t>
      </w:r>
      <w:r w:rsidRPr="00EA2E1E">
        <w:t>2014 a 31</w:t>
      </w:r>
      <w:r>
        <w:t xml:space="preserve"> de agosto de </w:t>
      </w:r>
      <w:r w:rsidRPr="00EA2E1E">
        <w:t>2015</w:t>
      </w:r>
      <w:r w:rsidRPr="00EA2E1E">
        <w:t>. Nenhuma restrição foi imposta aos nossos exames, realizados por amostragem, sobre a</w:t>
      </w:r>
      <w:r>
        <w:t>s</w:t>
      </w:r>
      <w:r w:rsidRPr="00EA2E1E">
        <w:t xml:space="preserve"> área</w:t>
      </w:r>
      <w:r>
        <w:t>s</w:t>
      </w:r>
      <w:r>
        <w:t xml:space="preserve"> de </w:t>
      </w:r>
      <w:r>
        <w:t>parcelamento de objeto licitado, motivação de licitação e construções e reformas sustentáveis</w:t>
      </w:r>
      <w:r>
        <w:t>.</w:t>
      </w:r>
    </w:p>
    <w:p w:rsidR="00B91EE0" w:rsidRP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C55E2" w:rsidRDefault="00AE511C" w:rsidP="009D286F">
      <w:pPr>
        <w:spacing w:after="0" w:line="36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RESULTADO DOS EXAMES</w:t>
      </w:r>
    </w:p>
    <w:p w:rsidR="00D526C2" w:rsidRPr="00F81303" w:rsidRDefault="005E1229" w:rsidP="0032314A">
      <w:pPr>
        <w:spacing w:after="0" w:line="360" w:lineRule="auto"/>
        <w:rPr>
          <w:rFonts w:eastAsia="Times New Roman"/>
          <w:b/>
          <w:lang w:eastAsia="pt-BR"/>
        </w:rPr>
      </w:pPr>
      <w:r w:rsidRPr="00F81303">
        <w:rPr>
          <w:b/>
        </w:rPr>
        <w:t>1</w:t>
      </w:r>
      <w:r w:rsidRPr="00F81303">
        <w:rPr>
          <w:b/>
        </w:rPr>
        <w:t xml:space="preserve"> </w:t>
      </w:r>
      <w:r w:rsidRPr="00F81303">
        <w:rPr>
          <w:b/>
        </w:rPr>
        <w:t xml:space="preserve">GESTÃO DO SUPRIMENTO DE BENS/SERVIÇOS        </w:t>
      </w:r>
    </w:p>
    <w:p w:rsidR="00C559D3" w:rsidRPr="005D627D" w:rsidRDefault="005E1229" w:rsidP="00DA7949">
      <w:pPr>
        <w:spacing w:after="0" w:line="360" w:lineRule="auto"/>
        <w:rPr>
          <w:b/>
        </w:rPr>
      </w:pPr>
      <w:r w:rsidRPr="005D627D">
        <w:rPr>
          <w:b/>
        </w:rPr>
        <w:t>1.1</w:t>
      </w:r>
      <w:r w:rsidRPr="005D627D">
        <w:rPr>
          <w:b/>
        </w:rPr>
        <w:t xml:space="preserve"> </w:t>
      </w:r>
      <w:r w:rsidRPr="005D627D">
        <w:rPr>
          <w:b/>
        </w:rPr>
        <w:t xml:space="preserve">PROCESSOS LICITATÓRIOS                       </w:t>
      </w:r>
      <w:r w:rsidRPr="005D627D">
        <w:rPr>
          <w:b/>
        </w:rPr>
        <w:t xml:space="preserve"> </w:t>
      </w:r>
    </w:p>
    <w:p w:rsidR="0016745C" w:rsidRPr="00CD0297" w:rsidRDefault="005E1229" w:rsidP="009D79D9">
      <w:pPr>
        <w:spacing w:after="0" w:line="360" w:lineRule="auto"/>
        <w:rPr>
          <w:b/>
        </w:rPr>
      </w:pPr>
      <w:r w:rsidRPr="00CD0297">
        <w:rPr>
          <w:b/>
        </w:rPr>
        <w:t>1.1.1</w:t>
      </w:r>
      <w:r w:rsidRPr="00CD0297">
        <w:rPr>
          <w:b/>
        </w:rPr>
        <w:t xml:space="preserve"> </w:t>
      </w:r>
      <w:r w:rsidRPr="00CD0297">
        <w:rPr>
          <w:b/>
        </w:rPr>
        <w:t xml:space="preserve">OPORTUNIDADE DA LICITAÇÃO                    </w:t>
      </w:r>
      <w:r w:rsidRPr="00CD0297">
        <w:rPr>
          <w:b/>
        </w:rPr>
        <w:t xml:space="preserve"> </w:t>
      </w:r>
    </w:p>
    <w:p w:rsidR="00D526C2" w:rsidRPr="004339A0" w:rsidRDefault="005E1229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lastRenderedPageBreak/>
        <w:t>1.1.1.1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5E1229" w:rsidP="00D526C2">
      <w:pPr>
        <w:spacing w:after="0" w:line="240" w:lineRule="auto"/>
        <w:rPr>
          <w:b/>
        </w:rPr>
      </w:pPr>
    </w:p>
    <w:p w:rsidR="00D526C2" w:rsidRPr="00890103" w:rsidRDefault="005E1229" w:rsidP="00D526C2">
      <w:pPr>
        <w:spacing w:after="0" w:line="240" w:lineRule="auto"/>
        <w:rPr>
          <w:b/>
        </w:rPr>
      </w:pPr>
      <w:r w:rsidRPr="00890103">
        <w:rPr>
          <w:b/>
        </w:rPr>
        <w:t>Existência de planejamento e execução de serviços de manutenção predial na UFRPE.</w:t>
      </w:r>
    </w:p>
    <w:p w:rsidR="00E03FB5" w:rsidRDefault="005E1229" w:rsidP="00743777">
      <w:pPr>
        <w:spacing w:after="0" w:line="240" w:lineRule="auto"/>
      </w:pPr>
    </w:p>
    <w:p w:rsidR="00D526C2" w:rsidRPr="004339A0" w:rsidRDefault="005E1229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5E1229" w:rsidP="00D526C2">
      <w:pPr>
        <w:spacing w:after="0" w:line="240" w:lineRule="auto"/>
        <w:rPr>
          <w:b/>
        </w:rPr>
      </w:pPr>
    </w:p>
    <w:p w:rsidR="009A3A2E" w:rsidRPr="009A3A2E" w:rsidRDefault="005E1229" w:rsidP="009A3A2E">
      <w:pPr>
        <w:spacing w:before="100" w:beforeAutospacing="1" w:after="100" w:afterAutospacing="1" w:line="240" w:lineRule="auto"/>
        <w:contextualSpacing/>
        <w:jc w:val="both"/>
      </w:pPr>
      <w:r w:rsidRPr="009A3A2E">
        <w:t xml:space="preserve">Analisado o processo relativo ao Contrato nº 10/2014 (prestação de serviços continuados de manutenção predial no Campus de Dois Irmãos e no Colégio Agrícola Dom Agostinho </w:t>
      </w:r>
      <w:proofErr w:type="spellStart"/>
      <w:r w:rsidRPr="009A3A2E">
        <w:t>Ikas</w:t>
      </w:r>
      <w:proofErr w:type="spellEnd"/>
      <w:r w:rsidRPr="009A3A2E">
        <w:t xml:space="preserve"> - CODAI), decorrente da realização do Pregão Eletrônico nº 145/2013, verificou-se a existência de planejamento e execução de serviços de manutenção predial no âmbito da UFRPE. Cabe registrar, entretanto, que alguns relatórios técnicos mensais decorrentes </w:t>
      </w:r>
      <w:r w:rsidRPr="009A3A2E">
        <w:t xml:space="preserve">do acompanhamento na execução da contratação registraram que alguns serviços restaram pendentes. Mediante o Ofício nº 551/2015-GR, de </w:t>
      </w:r>
      <w:proofErr w:type="gramStart"/>
      <w:r w:rsidRPr="009A3A2E">
        <w:t>7</w:t>
      </w:r>
      <w:proofErr w:type="gramEnd"/>
      <w:r w:rsidRPr="009A3A2E">
        <w:t xml:space="preserve"> de outubro de 2015, foi encaminhado o Memorando Nº 082/2015, de 2 de outubro de 2015, informando acerca da restrição orç</w:t>
      </w:r>
      <w:r w:rsidRPr="009A3A2E">
        <w:t>amentária que vem prejudicando a aquisição de material e insumo necessários para realização dos serviços de manutenção.</w:t>
      </w:r>
    </w:p>
    <w:p w:rsidR="009A3A2E" w:rsidRPr="009A3A2E" w:rsidRDefault="005E1229" w:rsidP="009A3A2E">
      <w:pPr>
        <w:spacing w:before="100" w:beforeAutospacing="1" w:after="100" w:afterAutospacing="1" w:line="240" w:lineRule="auto"/>
        <w:contextualSpacing/>
        <w:jc w:val="both"/>
      </w:pPr>
    </w:p>
    <w:p w:rsidR="009A3A2E" w:rsidRPr="009A3A2E" w:rsidRDefault="005E1229" w:rsidP="009A3A2E">
      <w:pPr>
        <w:spacing w:before="100" w:beforeAutospacing="1" w:after="100" w:afterAutospacing="1" w:line="240" w:lineRule="auto"/>
        <w:contextualSpacing/>
        <w:jc w:val="both"/>
      </w:pPr>
      <w:r w:rsidRPr="009A3A2E">
        <w:t xml:space="preserve">Considerando as ações adotadas pela UFRPE, percebe-se que a Entidade não mais incorre em impropriedade que fora objeto de recomendação </w:t>
      </w:r>
      <w:r w:rsidRPr="009A3A2E">
        <w:t>do órgão de controle interno disposta no Relatório de Auditoria nº 201108973:</w:t>
      </w:r>
    </w:p>
    <w:p w:rsidR="009A3A2E" w:rsidRPr="009A3A2E" w:rsidRDefault="005E1229" w:rsidP="009A3A2E">
      <w:pPr>
        <w:spacing w:before="100" w:beforeAutospacing="1" w:after="100" w:afterAutospacing="1" w:line="240" w:lineRule="auto"/>
        <w:contextualSpacing/>
        <w:jc w:val="both"/>
      </w:pPr>
    </w:p>
    <w:p w:rsidR="000B3106" w:rsidRDefault="005E1229" w:rsidP="009A3A2E">
      <w:pPr>
        <w:spacing w:before="100" w:beforeAutospacing="1" w:after="100" w:afterAutospacing="1" w:line="240" w:lineRule="auto"/>
        <w:contextualSpacing/>
        <w:jc w:val="both"/>
      </w:pPr>
      <w:r w:rsidRPr="009A3A2E">
        <w:t xml:space="preserve">Constatação 5.1.5.5 (056), Recomendação </w:t>
      </w:r>
      <w:proofErr w:type="gramStart"/>
      <w:r w:rsidRPr="009A3A2E">
        <w:t>1</w:t>
      </w:r>
      <w:proofErr w:type="gramEnd"/>
      <w:r w:rsidRPr="009A3A2E">
        <w:t>: Melhorar o planejamento e a conclusão dos processos licitatórios em tempo hábil, evitando descontinuidade na prestação dos serviços ou</w:t>
      </w:r>
      <w:r w:rsidRPr="009A3A2E">
        <w:t xml:space="preserve"> a utilização indevida de dispensa de licitação com fundamento no art. 24, inciso IV, da Lei 8.666/93.</w:t>
      </w:r>
    </w:p>
    <w:p w:rsidR="000A4052" w:rsidRPr="009609CE" w:rsidRDefault="005E1229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5E1229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B91EE0" w:rsidRDefault="00B91EE0" w:rsidP="00AE511C">
      <w:pPr>
        <w:spacing w:after="0" w:line="240" w:lineRule="auto"/>
        <w:rPr>
          <w:rFonts w:eastAsia="Times New Roman"/>
          <w:b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="00B91EE0"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CONCLUSÃO</w:t>
      </w:r>
    </w:p>
    <w:p w:rsidR="00B91EE0" w:rsidRDefault="00B91EE0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5E1229" w:rsidP="00172223">
      <w:pPr>
        <w:rPr>
          <w:sz w:val="16"/>
          <w:szCs w:val="16"/>
        </w:rPr>
      </w:pPr>
    </w:p>
    <w:p w:rsidR="00172223" w:rsidRPr="00172223" w:rsidRDefault="005E1229" w:rsidP="00DB523C">
      <w:pPr>
        <w:jc w:val="both"/>
        <w:rPr>
          <w:sz w:val="16"/>
          <w:szCs w:val="16"/>
        </w:rPr>
      </w:pPr>
      <w:r w:rsidRPr="00354893">
        <w:t xml:space="preserve">Em face dos exames realizados, somos de opinião </w:t>
      </w:r>
      <w:r>
        <w:t>que a Unidade Gestora atendeu a</w:t>
      </w:r>
      <w:r w:rsidRPr="00354893">
        <w:t xml:space="preserve"> recomendaç</w:t>
      </w:r>
      <w:r>
        <w:t>ão</w:t>
      </w:r>
      <w:r w:rsidRPr="00354893">
        <w:t xml:space="preserve"> do con</w:t>
      </w:r>
      <w:r>
        <w:t>trole interno analisada</w:t>
      </w:r>
      <w:r w:rsidRPr="00354893">
        <w:t xml:space="preserve"> ou não mais incorreu em falhas que ocasionaram a expedição d</w:t>
      </w:r>
      <w:r>
        <w:t>e</w:t>
      </w:r>
      <w:r w:rsidRPr="00354893">
        <w:t xml:space="preserve"> recomendaç</w:t>
      </w:r>
      <w:r>
        <w:t>ão</w:t>
      </w:r>
      <w:r>
        <w:t xml:space="preserve"> citada no corpo do relatório</w:t>
      </w:r>
      <w:r>
        <w:t>.</w:t>
      </w:r>
    </w:p>
    <w:p w:rsidR="00AE511C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73650D" w:rsidRDefault="00443368" w:rsidP="00AE511C">
      <w:pPr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Recife</w:t>
      </w:r>
      <w:r w:rsidR="00AE511C" w:rsidRPr="0073650D">
        <w:rPr>
          <w:rFonts w:eastAsia="Times New Roman"/>
          <w:lang w:eastAsia="pt-BR"/>
        </w:rPr>
        <w:t>/</w:t>
      </w:r>
      <w:r>
        <w:rPr>
          <w:rFonts w:eastAsia="Times New Roman"/>
          <w:bCs/>
          <w:lang w:eastAsia="pt-BR"/>
        </w:rPr>
        <w:t>PE</w:t>
      </w:r>
      <w:r w:rsidR="00AE511C" w:rsidRPr="0073650D">
        <w:rPr>
          <w:rFonts w:eastAsia="Times New Roman"/>
          <w:lang w:eastAsia="pt-BR"/>
        </w:rPr>
        <w:t>,</w:t>
      </w:r>
      <w:r w:rsidR="00AE511C">
        <w:rPr>
          <w:rFonts w:eastAsia="Times New Roman"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10 de novembro de 2015</w:t>
      </w:r>
      <w:r w:rsidR="00AE511C" w:rsidRPr="0073650D">
        <w:rPr>
          <w:rFonts w:eastAsia="Times New Roman"/>
          <w:lang w:eastAsia="pt-BR"/>
        </w:rPr>
        <w:t>.</w:t>
      </w:r>
    </w:p>
    <w:p w:rsidR="00AE511C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AE511C" w:rsidRPr="0073650D" w:rsidRDefault="00821774" w:rsidP="00AE511C">
      <w:pPr>
        <w:spacing w:after="0" w:line="240" w:lineRule="auto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Equipe Técnica</w:t>
      </w:r>
    </w:p>
    <w:p w:rsidR="00636E9A" w:rsidRPr="00636E9A" w:rsidRDefault="005E1229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Nome: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SERGIO ANISIO BEZERRA SILVA</w:t>
      </w:r>
    </w:p>
    <w:p w:rsidR="00636E9A" w:rsidRPr="00636E9A" w:rsidRDefault="005E1229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Cargo: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ANALISTA DE FINANCAS E CONTROLE</w:t>
      </w:r>
    </w:p>
    <w:p w:rsidR="00636E9A" w:rsidRPr="00636E9A" w:rsidRDefault="005E1229" w:rsidP="00636E9A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636E9A" w:rsidRPr="00636E9A" w:rsidRDefault="005E1229" w:rsidP="00636E9A">
      <w:pPr>
        <w:spacing w:after="0" w:line="240" w:lineRule="auto"/>
        <w:rPr>
          <w:rFonts w:eastAsia="Times New Roman"/>
          <w:lang w:eastAsia="pt-BR"/>
        </w:rPr>
      </w:pPr>
      <w:r w:rsidRPr="00636E9A">
        <w:rPr>
          <w:rFonts w:eastAsia="Times New Roman"/>
          <w:b/>
          <w:bCs/>
          <w:lang w:eastAsia="pt-BR"/>
        </w:rPr>
        <w:t>Assinatura:</w:t>
      </w:r>
      <w:r w:rsidRPr="00636E9A">
        <w:rPr>
          <w:rFonts w:eastAsia="Times New Roman"/>
          <w:lang w:eastAsia="pt-BR"/>
        </w:rPr>
        <w:t xml:space="preserve"> </w:t>
      </w:r>
    </w:p>
    <w:p w:rsidR="003E24DF" w:rsidRPr="00636E9A" w:rsidRDefault="005E1229">
      <w:pPr>
        <w:rPr>
          <w:u w:val="single"/>
        </w:rPr>
      </w:pPr>
    </w:p>
    <w:p w:rsidR="000D3D5F" w:rsidRPr="00B66950" w:rsidRDefault="000D3D5F" w:rsidP="00AE511C"/>
    <w:sectPr w:rsidR="000D3D5F" w:rsidRPr="00B66950" w:rsidSect="00053E1E">
      <w:foot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72" w:rsidRDefault="00E43172" w:rsidP="00187197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97" w:rsidRDefault="00187197" w:rsidP="00187197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2608928</wp:posOffset>
          </wp:positionH>
          <wp:positionV relativeFrom="paragraph">
            <wp:posOffset>267072</wp:posOffset>
          </wp:positionV>
          <wp:extent cx="800100" cy="368300"/>
          <wp:effectExtent l="0" t="0" r="0" b="0"/>
          <wp:wrapNone/>
          <wp:docPr id="6" name="Imagem 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2DD4" w:rsidRDefault="005E1229" w:rsidP="00A32DD4">
    <w:pPr>
      <w:pStyle w:val="Rodap"/>
      <w:jc w:val="center"/>
      <w:rPr>
        <w:b/>
        <w:i/>
        <w:color w:val="BFBFBF" w:themeColor="background1" w:themeShade="BF"/>
        <w:sz w:val="18"/>
        <w:szCs w:val="18"/>
      </w:rPr>
    </w:pPr>
    <w:r>
      <w:rPr>
        <w:noProof/>
        <w:lang w:eastAsia="pt-BR"/>
      </w:rPr>
      <w:pict>
        <v:line id="Conector reto 18" o:spid="_x0000_s410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9.05pt" to="449.65pt,9.05pt"/>
      </w:pict>
    </w:r>
    <w:r>
      <w:rPr>
        <w:noProof/>
        <w:lang w:eastAsia="pt-BR"/>
      </w:rPr>
      <w:pict>
        <v:line id="Conector reto 17" o:spid="_x0000_s409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pt" to="201.45pt,9pt"/>
      </w:pict>
    </w:r>
  </w:p>
  <w:p w:rsidR="00A32DD4" w:rsidRDefault="00A32DD4" w:rsidP="00A32DD4">
    <w:pPr>
      <w:pStyle w:val="Rodap"/>
      <w:rPr>
        <w:rStyle w:val="Hyperlink"/>
      </w:rPr>
    </w:pPr>
    <w:r>
      <w:rPr>
        <w:rFonts w:asciiTheme="minorHAnsi" w:hAnsiTheme="minorHAnsi" w:cstheme="minorBidi"/>
        <w:noProof/>
        <w:sz w:val="22"/>
        <w:szCs w:val="2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-180340</wp:posOffset>
          </wp:positionV>
          <wp:extent cx="800100" cy="368300"/>
          <wp:effectExtent l="0" t="0" r="0" b="0"/>
          <wp:wrapNone/>
          <wp:docPr id="16" name="Imagem 1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1229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2" o:spid="_x0000_s409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 w:rsidR="005E1229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1" o:spid="_x0000_s409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>
      <w:rPr>
        <w:b/>
        <w:i/>
        <w:color w:val="BFBFBF" w:themeColor="background1" w:themeShade="BF"/>
        <w:sz w:val="18"/>
        <w:szCs w:val="18"/>
      </w:rPr>
      <w:t xml:space="preserve">    </w:t>
    </w:r>
    <w:r>
      <w:rPr>
        <w:b/>
        <w:i/>
        <w:sz w:val="18"/>
        <w:szCs w:val="18"/>
      </w:rPr>
      <w:t xml:space="preserve">Dinheiro público é da sua conta          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                                          </w:t>
    </w:r>
    <w:hyperlink r:id="rId2" w:history="1">
      <w:r>
        <w:rPr>
          <w:rStyle w:val="Hyperlink"/>
          <w:i/>
          <w:sz w:val="18"/>
          <w:szCs w:val="18"/>
        </w:rPr>
        <w:t>www.portaldatransparencia.gov.br</w:t>
      </w:r>
    </w:hyperlink>
  </w:p>
  <w:sdt>
    <w:sdtPr>
      <w:id w:val="399796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7197" w:rsidRPr="00187197" w:rsidRDefault="00187197" w:rsidP="00187197">
        <w:pPr>
          <w:pStyle w:val="Rodap"/>
          <w:tabs>
            <w:tab w:val="clear" w:pos="8504"/>
            <w:tab w:val="right" w:pos="9639"/>
          </w:tabs>
          <w:ind w:right="-1135"/>
          <w:jc w:val="right"/>
          <w:rPr>
            <w:sz w:val="20"/>
            <w:szCs w:val="20"/>
          </w:rPr>
        </w:pPr>
        <w:r w:rsidRPr="00187197">
          <w:rPr>
            <w:sz w:val="20"/>
            <w:szCs w:val="20"/>
          </w:rPr>
          <w:fldChar w:fldCharType="begin"/>
        </w:r>
        <w:r w:rsidRPr="00187197">
          <w:rPr>
            <w:sz w:val="20"/>
            <w:szCs w:val="20"/>
          </w:rPr>
          <w:instrText>PAGE   \* MERGEFORMAT</w:instrText>
        </w:r>
        <w:r w:rsidRPr="00187197">
          <w:rPr>
            <w:sz w:val="20"/>
            <w:szCs w:val="20"/>
          </w:rPr>
          <w:fldChar w:fldCharType="separate"/>
        </w:r>
        <w:r w:rsidR="005E1229">
          <w:rPr>
            <w:noProof/>
            <w:sz w:val="20"/>
            <w:szCs w:val="20"/>
          </w:rPr>
          <w:t>1</w:t>
        </w:r>
        <w:r w:rsidRPr="001871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72" w:rsidRDefault="00E43172" w:rsidP="00187197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9F4"/>
    <w:multiLevelType w:val="hybridMultilevel"/>
    <w:tmpl w:val="0E260926"/>
    <w:lvl w:ilvl="0" w:tplc="18586A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050"/>
    <w:multiLevelType w:val="hybridMultilevel"/>
    <w:tmpl w:val="D0B68ED4"/>
    <w:lvl w:ilvl="0" w:tplc="074C7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D77CD"/>
    <w:multiLevelType w:val="hybridMultilevel"/>
    <w:tmpl w:val="8752E854"/>
    <w:lvl w:ilvl="0" w:tplc="679671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C"/>
    <w:rsid w:val="00004E00"/>
    <w:rsid w:val="000140E8"/>
    <w:rsid w:val="000278D7"/>
    <w:rsid w:val="000B0446"/>
    <w:rsid w:val="000D3D5F"/>
    <w:rsid w:val="00104344"/>
    <w:rsid w:val="00187197"/>
    <w:rsid w:val="0026759B"/>
    <w:rsid w:val="002A7B4D"/>
    <w:rsid w:val="002D480E"/>
    <w:rsid w:val="002E4EEB"/>
    <w:rsid w:val="00384064"/>
    <w:rsid w:val="00427827"/>
    <w:rsid w:val="0043136D"/>
    <w:rsid w:val="00443368"/>
    <w:rsid w:val="004D4588"/>
    <w:rsid w:val="0059376C"/>
    <w:rsid w:val="005E1229"/>
    <w:rsid w:val="00632315"/>
    <w:rsid w:val="00821774"/>
    <w:rsid w:val="008A5BAA"/>
    <w:rsid w:val="008B5149"/>
    <w:rsid w:val="009D286F"/>
    <w:rsid w:val="00A32DD4"/>
    <w:rsid w:val="00AE511C"/>
    <w:rsid w:val="00B66950"/>
    <w:rsid w:val="00B91EE0"/>
    <w:rsid w:val="00C72704"/>
    <w:rsid w:val="00CC626B"/>
    <w:rsid w:val="00D5194C"/>
    <w:rsid w:val="00D83A67"/>
    <w:rsid w:val="00E4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datransparencia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5AC4EA-615C-457E-8E37-DAB3C82F05C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Vieira Borges</dc:creator>
  <cp:lastModifiedBy>Sergio Anisio Bezerra Silva</cp:lastModifiedBy>
  <cp:revision>2</cp:revision>
  <cp:lastPrinted>2015-11-10T13:56:00Z</cp:lastPrinted>
  <dcterms:created xsi:type="dcterms:W3CDTF">2015-11-10T13:57:00Z</dcterms:created>
  <dcterms:modified xsi:type="dcterms:W3CDTF">2015-11-10T13:57:00Z</dcterms:modified>
</cp:coreProperties>
</file>