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1C" w:rsidRDefault="00AE511C" w:rsidP="00AE511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1"/>
          <w:szCs w:val="21"/>
        </w:rPr>
      </w:pPr>
      <w:bookmarkStart w:id="0" w:name="_GoBack"/>
      <w:bookmarkEnd w:id="0"/>
    </w:p>
    <w:p w:rsidR="00AE511C" w:rsidRDefault="00187197" w:rsidP="00AE511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noProof/>
          <w:position w:val="-20"/>
          <w:sz w:val="22"/>
          <w:lang w:eastAsia="pt-BR"/>
        </w:rPr>
        <w:drawing>
          <wp:inline distT="0" distB="0" distL="0" distR="0">
            <wp:extent cx="902970" cy="8807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11C" w:rsidRPr="00C17773" w:rsidRDefault="00AE511C" w:rsidP="00187197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</w:rPr>
      </w:pPr>
      <w:r w:rsidRPr="00C17773">
        <w:rPr>
          <w:b/>
          <w:bCs/>
        </w:rPr>
        <w:t>PRESIDÊNCIA DA REPÚBLICA</w:t>
      </w:r>
    </w:p>
    <w:p w:rsidR="00AE511C" w:rsidRPr="00C17773" w:rsidRDefault="00AE511C" w:rsidP="00187197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</w:rPr>
      </w:pPr>
      <w:r w:rsidRPr="00C17773">
        <w:rPr>
          <w:b/>
          <w:bCs/>
        </w:rPr>
        <w:t>CONTROLADORIA-GERAL DA UNIÃO</w:t>
      </w:r>
    </w:p>
    <w:p w:rsidR="00AE511C" w:rsidRPr="00C17773" w:rsidRDefault="00AE511C" w:rsidP="00187197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</w:rPr>
      </w:pPr>
      <w:r w:rsidRPr="00C17773">
        <w:rPr>
          <w:b/>
          <w:bCs/>
        </w:rPr>
        <w:t>SECRETARIA FEDERAL DE CONTROLE INTERNO</w:t>
      </w:r>
    </w:p>
    <w:p w:rsidR="00AE511C" w:rsidRPr="0073650D" w:rsidRDefault="00AE511C" w:rsidP="00AE511C">
      <w:pPr>
        <w:spacing w:after="0" w:line="240" w:lineRule="auto"/>
        <w:rPr>
          <w:rFonts w:eastAsia="Times New Roman"/>
          <w:b/>
          <w:bCs/>
          <w:lang w:eastAsia="pt-BR"/>
        </w:rPr>
      </w:pPr>
    </w:p>
    <w:p w:rsidR="00187197" w:rsidRDefault="00187197" w:rsidP="00AE511C">
      <w:pPr>
        <w:spacing w:after="0" w:line="240" w:lineRule="auto"/>
        <w:rPr>
          <w:rFonts w:eastAsia="Times New Roman"/>
          <w:bCs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268"/>
      </w:tblGrid>
      <w:tr w:rsidR="00384064" w:rsidTr="00384064">
        <w:tc>
          <w:tcPr>
            <w:tcW w:w="2376" w:type="dxa"/>
          </w:tcPr>
          <w:p w:rsidR="00384064" w:rsidRDefault="00384064" w:rsidP="00384064">
            <w:pPr>
              <w:spacing w:line="360" w:lineRule="auto"/>
              <w:rPr>
                <w:rFonts w:eastAsia="Times New Roman"/>
                <w:bCs/>
                <w:lang w:eastAsia="pt-BR"/>
              </w:rPr>
            </w:pPr>
            <w:r w:rsidRPr="005462A6">
              <w:rPr>
                <w:rFonts w:eastAsia="Times New Roman"/>
                <w:bCs/>
                <w:lang w:eastAsia="pt-BR"/>
              </w:rPr>
              <w:t>Unidade Auditada:</w:t>
            </w:r>
          </w:p>
        </w:tc>
        <w:tc>
          <w:tcPr>
            <w:tcW w:w="6268" w:type="dxa"/>
          </w:tcPr>
          <w:p w:rsidR="00384064" w:rsidRDefault="00443368" w:rsidP="00384064">
            <w:pPr>
              <w:spacing w:line="360" w:lineRule="auto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UNIVERSIDADE FEDERAL RURAL DE PERNAMBUCO</w:t>
            </w:r>
          </w:p>
        </w:tc>
      </w:tr>
      <w:tr w:rsidR="00384064" w:rsidTr="00384064">
        <w:tc>
          <w:tcPr>
            <w:tcW w:w="2376" w:type="dxa"/>
          </w:tcPr>
          <w:p w:rsidR="00384064" w:rsidRDefault="00384064" w:rsidP="00384064">
            <w:pPr>
              <w:spacing w:line="360" w:lineRule="auto"/>
              <w:rPr>
                <w:rFonts w:eastAsia="Times New Roman"/>
                <w:bCs/>
                <w:lang w:eastAsia="pt-BR"/>
              </w:rPr>
            </w:pPr>
            <w:r w:rsidRPr="00066392">
              <w:rPr>
                <w:rFonts w:eastAsia="Times New Roman"/>
                <w:lang w:eastAsia="pt-BR"/>
              </w:rPr>
              <w:t>Município - UF:</w:t>
            </w:r>
          </w:p>
        </w:tc>
        <w:tc>
          <w:tcPr>
            <w:tcW w:w="6268" w:type="dxa"/>
          </w:tcPr>
          <w:p w:rsidR="00384064" w:rsidRDefault="00443368" w:rsidP="00384064">
            <w:pPr>
              <w:spacing w:line="360" w:lineRule="auto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Recife</w:t>
            </w:r>
            <w:r w:rsidR="00384064" w:rsidRPr="00066392">
              <w:t xml:space="preserve"> </w:t>
            </w:r>
            <w:r w:rsidR="00384064" w:rsidRPr="00066392">
              <w:rPr>
                <w:rFonts w:eastAsia="Times New Roman"/>
                <w:lang w:eastAsia="pt-BR"/>
              </w:rPr>
              <w:t xml:space="preserve">- </w:t>
            </w:r>
            <w:r>
              <w:rPr>
                <w:rFonts w:eastAsia="Times New Roman"/>
                <w:bCs/>
                <w:lang w:eastAsia="pt-BR"/>
              </w:rPr>
              <w:t>PE</w:t>
            </w:r>
          </w:p>
        </w:tc>
      </w:tr>
      <w:tr w:rsidR="00384064" w:rsidTr="00384064">
        <w:tc>
          <w:tcPr>
            <w:tcW w:w="2376" w:type="dxa"/>
          </w:tcPr>
          <w:p w:rsidR="00384064" w:rsidRDefault="00384064" w:rsidP="00384064">
            <w:pPr>
              <w:spacing w:line="360" w:lineRule="auto"/>
              <w:rPr>
                <w:rFonts w:eastAsia="Times New Roman"/>
                <w:bCs/>
                <w:lang w:eastAsia="pt-BR"/>
              </w:rPr>
            </w:pPr>
            <w:r w:rsidRPr="00066392">
              <w:rPr>
                <w:rFonts w:eastAsia="Times New Roman"/>
                <w:lang w:eastAsia="pt-BR"/>
              </w:rPr>
              <w:t>Relatório nº:</w:t>
            </w:r>
          </w:p>
        </w:tc>
        <w:tc>
          <w:tcPr>
            <w:tcW w:w="6268" w:type="dxa"/>
          </w:tcPr>
          <w:p w:rsidR="00384064" w:rsidRDefault="00443368" w:rsidP="00384064">
            <w:pPr>
              <w:spacing w:line="360" w:lineRule="auto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201504953</w:t>
            </w:r>
          </w:p>
        </w:tc>
      </w:tr>
      <w:tr w:rsidR="00384064" w:rsidTr="00384064">
        <w:tc>
          <w:tcPr>
            <w:tcW w:w="2376" w:type="dxa"/>
          </w:tcPr>
          <w:p w:rsidR="00384064" w:rsidRDefault="00384064" w:rsidP="00384064">
            <w:pPr>
              <w:spacing w:line="360" w:lineRule="auto"/>
              <w:rPr>
                <w:rFonts w:eastAsia="Times New Roman"/>
                <w:bCs/>
                <w:lang w:eastAsia="pt-BR"/>
              </w:rPr>
            </w:pPr>
            <w:r w:rsidRPr="00066392">
              <w:rPr>
                <w:rFonts w:eastAsia="Times New Roman"/>
                <w:lang w:eastAsia="pt-BR"/>
              </w:rPr>
              <w:t>UCI Executora:</w:t>
            </w:r>
          </w:p>
        </w:tc>
        <w:tc>
          <w:tcPr>
            <w:tcW w:w="6268" w:type="dxa"/>
          </w:tcPr>
          <w:p w:rsidR="00384064" w:rsidRDefault="00443368" w:rsidP="00384064">
            <w:pPr>
              <w:spacing w:line="360" w:lineRule="auto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CONTROLADORIA REGIONAL DA UNIÃO NO ESTADO DE PERNAMBUCO</w:t>
            </w:r>
          </w:p>
        </w:tc>
      </w:tr>
    </w:tbl>
    <w:p w:rsidR="00384064" w:rsidRDefault="00384064" w:rsidP="00AE511C">
      <w:pPr>
        <w:spacing w:after="0" w:line="240" w:lineRule="auto"/>
        <w:rPr>
          <w:rFonts w:eastAsia="Times New Roman"/>
          <w:bCs/>
          <w:lang w:eastAsia="pt-BR"/>
        </w:rPr>
      </w:pPr>
    </w:p>
    <w:p w:rsidR="00821774" w:rsidRDefault="00821774" w:rsidP="00AE511C">
      <w:pPr>
        <w:spacing w:after="0" w:line="240" w:lineRule="auto"/>
        <w:jc w:val="center"/>
        <w:rPr>
          <w:rFonts w:eastAsia="Times New Roman"/>
          <w:b/>
          <w:lang w:eastAsia="pt-BR"/>
        </w:rPr>
      </w:pPr>
    </w:p>
    <w:p w:rsidR="00AE511C" w:rsidRPr="00567E1F" w:rsidRDefault="00AE511C" w:rsidP="00AE511C">
      <w:pPr>
        <w:spacing w:after="0" w:line="240" w:lineRule="auto"/>
        <w:jc w:val="center"/>
        <w:rPr>
          <w:rFonts w:eastAsia="Times New Roman"/>
          <w:b/>
          <w:lang w:eastAsia="pt-BR"/>
        </w:rPr>
      </w:pPr>
      <w:r w:rsidRPr="00567E1F">
        <w:rPr>
          <w:rFonts w:eastAsia="Times New Roman"/>
          <w:b/>
          <w:lang w:eastAsia="pt-BR"/>
        </w:rPr>
        <w:t>RELATÓRIO DE AUDITORIA</w:t>
      </w:r>
    </w:p>
    <w:p w:rsidR="00AE511C" w:rsidRPr="00066392" w:rsidRDefault="00AE511C" w:rsidP="00AE511C">
      <w:pPr>
        <w:spacing w:after="0" w:line="240" w:lineRule="auto"/>
        <w:jc w:val="both"/>
        <w:rPr>
          <w:rFonts w:eastAsia="Times New Roman"/>
          <w:lang w:eastAsia="pt-BR"/>
        </w:rPr>
      </w:pPr>
    </w:p>
    <w:p w:rsidR="00AE511C" w:rsidRPr="00066392" w:rsidRDefault="00443368" w:rsidP="00AE511C">
      <w:pPr>
        <w:spacing w:after="0" w:line="240" w:lineRule="auto"/>
        <w:jc w:val="both"/>
        <w:rPr>
          <w:rFonts w:eastAsia="Times New Roman"/>
          <w:lang w:eastAsia="pt-BR"/>
        </w:rPr>
      </w:pPr>
      <w:r>
        <w:rPr>
          <w:rFonts w:eastAsia="Times New Roman"/>
          <w:bCs/>
          <w:lang w:eastAsia="pt-BR"/>
        </w:rPr>
        <w:t>Senhor Chefe da CGU-Regional/PE</w:t>
      </w:r>
      <w:r w:rsidR="00AE511C" w:rsidRPr="00066392">
        <w:rPr>
          <w:rFonts w:eastAsia="Times New Roman"/>
          <w:lang w:eastAsia="pt-BR"/>
        </w:rPr>
        <w:t xml:space="preserve">, </w:t>
      </w:r>
    </w:p>
    <w:p w:rsidR="00D83A67" w:rsidRDefault="00D83A67" w:rsidP="00384064">
      <w:pPr>
        <w:spacing w:after="0"/>
        <w:jc w:val="both"/>
        <w:rPr>
          <w:noProof/>
        </w:rPr>
      </w:pPr>
    </w:p>
    <w:p w:rsidR="00172223" w:rsidRDefault="00C63706" w:rsidP="00172223">
      <w:pPr>
        <w:rPr>
          <w:sz w:val="16"/>
          <w:szCs w:val="16"/>
        </w:rPr>
      </w:pPr>
    </w:p>
    <w:p w:rsidR="00172223" w:rsidRPr="00172223" w:rsidRDefault="00C63706" w:rsidP="00DB523C">
      <w:pPr>
        <w:jc w:val="both"/>
        <w:rPr>
          <w:sz w:val="16"/>
          <w:szCs w:val="16"/>
        </w:rPr>
      </w:pPr>
      <w:r w:rsidRPr="00EA2E1E">
        <w:t>Em atendimento à determinação contida na Ordem de Serviço nº 20150495</w:t>
      </w:r>
      <w:r>
        <w:t>3</w:t>
      </w:r>
      <w:r w:rsidRPr="00EA2E1E">
        <w:t xml:space="preserve">, apresentamos os resultados dos exames realizados sob atos e consequentes fatos de gestão, ocorridos na </w:t>
      </w:r>
      <w:proofErr w:type="spellStart"/>
      <w:r w:rsidRPr="00EA2E1E">
        <w:t>supra-referida</w:t>
      </w:r>
      <w:proofErr w:type="spellEnd"/>
      <w:r w:rsidRPr="00EA2E1E">
        <w:t xml:space="preserve">, no período </w:t>
      </w:r>
      <w:r>
        <w:t xml:space="preserve">de </w:t>
      </w:r>
      <w:r w:rsidRPr="00EA2E1E">
        <w:t>2</w:t>
      </w:r>
      <w:r>
        <w:t xml:space="preserve"> de janeiro de </w:t>
      </w:r>
      <w:r w:rsidRPr="00EA2E1E">
        <w:t>2014 a 31</w:t>
      </w:r>
      <w:r>
        <w:t xml:space="preserve"> de agosto de </w:t>
      </w:r>
      <w:r w:rsidRPr="00EA2E1E">
        <w:t>2015.</w:t>
      </w:r>
    </w:p>
    <w:p w:rsidR="00AE511C" w:rsidRPr="0073650D" w:rsidRDefault="00AE511C" w:rsidP="00AE511C">
      <w:pPr>
        <w:spacing w:after="0" w:line="240" w:lineRule="auto"/>
        <w:rPr>
          <w:rFonts w:eastAsia="Times New Roman"/>
          <w:lang w:eastAsia="pt-BR"/>
        </w:rPr>
      </w:pPr>
    </w:p>
    <w:p w:rsidR="00AE511C" w:rsidRPr="000C55E2" w:rsidRDefault="00AE511C" w:rsidP="00AE511C">
      <w:pPr>
        <w:spacing w:after="0" w:line="240" w:lineRule="auto"/>
        <w:rPr>
          <w:rFonts w:eastAsia="Times New Roman"/>
          <w:b/>
          <w:lang w:eastAsia="pt-BR"/>
        </w:rPr>
      </w:pPr>
      <w:r w:rsidRPr="00E63182">
        <w:rPr>
          <w:rFonts w:eastAsia="Times New Roman"/>
          <w:b/>
          <w:lang w:eastAsia="pt-BR"/>
        </w:rPr>
        <w:t>I – ESCOPO DO TRABALHO</w:t>
      </w:r>
    </w:p>
    <w:p w:rsidR="00B91EE0" w:rsidRDefault="00B91EE0" w:rsidP="00B91EE0">
      <w:pPr>
        <w:spacing w:after="0" w:line="240" w:lineRule="auto"/>
        <w:jc w:val="both"/>
        <w:rPr>
          <w:rFonts w:eastAsia="Times New Roman"/>
          <w:lang w:eastAsia="pt-BR"/>
        </w:rPr>
      </w:pPr>
    </w:p>
    <w:p w:rsidR="00172223" w:rsidRDefault="00C63706" w:rsidP="00172223">
      <w:pPr>
        <w:rPr>
          <w:sz w:val="16"/>
          <w:szCs w:val="16"/>
        </w:rPr>
      </w:pPr>
    </w:p>
    <w:p w:rsidR="00172223" w:rsidRPr="00172223" w:rsidRDefault="00C63706" w:rsidP="00DB523C">
      <w:pPr>
        <w:jc w:val="both"/>
        <w:rPr>
          <w:sz w:val="16"/>
          <w:szCs w:val="16"/>
        </w:rPr>
      </w:pPr>
      <w:r w:rsidRPr="00EA2E1E">
        <w:t xml:space="preserve">Os trabalhos foram realizados no período de </w:t>
      </w:r>
      <w:r>
        <w:t xml:space="preserve">21 de </w:t>
      </w:r>
      <w:r>
        <w:t xml:space="preserve">setembro a </w:t>
      </w:r>
      <w:proofErr w:type="gramStart"/>
      <w:r>
        <w:t>6</w:t>
      </w:r>
      <w:proofErr w:type="gramEnd"/>
      <w:r>
        <w:t xml:space="preserve"> de novembro de 2015</w:t>
      </w:r>
      <w:r w:rsidRPr="00EA2E1E">
        <w:t xml:space="preserve"> em estrita observância às normas de auditoria aplicáveis ao serviço público federal, objetivando o acompanhamento preventivo dos atos e fatos de gestão ocorridos no período de abrangência do trabalho, qual seja, </w:t>
      </w:r>
      <w:r w:rsidRPr="00EA2E1E">
        <w:t>2</w:t>
      </w:r>
      <w:r>
        <w:t xml:space="preserve"> de janeiro de </w:t>
      </w:r>
      <w:r w:rsidRPr="00EA2E1E">
        <w:t>2014 a 31</w:t>
      </w:r>
      <w:r>
        <w:t xml:space="preserve"> de agosto de </w:t>
      </w:r>
      <w:r w:rsidRPr="00EA2E1E">
        <w:t>2015</w:t>
      </w:r>
      <w:r w:rsidRPr="00EA2E1E">
        <w:t>. Nenhuma restrição foi imposta aos nossos exames, realizados por amostragem, sobre a</w:t>
      </w:r>
      <w:r>
        <w:t>s</w:t>
      </w:r>
      <w:r w:rsidRPr="00EA2E1E">
        <w:t xml:space="preserve"> área</w:t>
      </w:r>
      <w:r>
        <w:t>s</w:t>
      </w:r>
      <w:r>
        <w:t xml:space="preserve"> de </w:t>
      </w:r>
      <w:r>
        <w:t>formalização e execução de convênios e inscrição de despesas em restos a pagar</w:t>
      </w:r>
      <w:r>
        <w:t>.</w:t>
      </w:r>
    </w:p>
    <w:p w:rsidR="00B91EE0" w:rsidRPr="00B91EE0" w:rsidRDefault="00B91EE0" w:rsidP="00B91EE0">
      <w:pPr>
        <w:spacing w:after="0" w:line="240" w:lineRule="auto"/>
        <w:jc w:val="both"/>
        <w:rPr>
          <w:rFonts w:eastAsia="Times New Roman"/>
          <w:lang w:eastAsia="pt-BR"/>
        </w:rPr>
      </w:pPr>
    </w:p>
    <w:p w:rsidR="00AE511C" w:rsidRPr="000C55E2" w:rsidRDefault="00AE511C" w:rsidP="009D286F">
      <w:pPr>
        <w:spacing w:after="0" w:line="360" w:lineRule="auto"/>
        <w:rPr>
          <w:rFonts w:eastAsia="Times New Roman"/>
          <w:b/>
          <w:lang w:eastAsia="pt-BR"/>
        </w:rPr>
      </w:pPr>
      <w:r w:rsidRPr="00E63182">
        <w:rPr>
          <w:rFonts w:eastAsia="Times New Roman"/>
          <w:b/>
          <w:lang w:eastAsia="pt-BR"/>
        </w:rPr>
        <w:t>I</w:t>
      </w:r>
      <w:r>
        <w:rPr>
          <w:rFonts w:eastAsia="Times New Roman"/>
          <w:b/>
          <w:lang w:eastAsia="pt-BR"/>
        </w:rPr>
        <w:t>I</w:t>
      </w:r>
      <w:r w:rsidRPr="00E63182">
        <w:rPr>
          <w:rFonts w:eastAsia="Times New Roman"/>
          <w:b/>
          <w:lang w:eastAsia="pt-BR"/>
        </w:rPr>
        <w:t xml:space="preserve"> – </w:t>
      </w:r>
      <w:r>
        <w:rPr>
          <w:rFonts w:eastAsia="Times New Roman"/>
          <w:b/>
          <w:lang w:eastAsia="pt-BR"/>
        </w:rPr>
        <w:t>RESULTADO DOS EXAMES</w:t>
      </w:r>
    </w:p>
    <w:p w:rsidR="00D526C2" w:rsidRPr="00F81303" w:rsidRDefault="00C63706" w:rsidP="0032314A">
      <w:pPr>
        <w:spacing w:after="0" w:line="360" w:lineRule="auto"/>
        <w:rPr>
          <w:rFonts w:eastAsia="Times New Roman"/>
          <w:b/>
          <w:lang w:eastAsia="pt-BR"/>
        </w:rPr>
      </w:pPr>
      <w:r w:rsidRPr="00F81303">
        <w:rPr>
          <w:b/>
        </w:rPr>
        <w:t>1</w:t>
      </w:r>
      <w:r w:rsidRPr="00F81303">
        <w:rPr>
          <w:b/>
        </w:rPr>
        <w:t xml:space="preserve"> </w:t>
      </w:r>
      <w:r w:rsidRPr="00F81303">
        <w:rPr>
          <w:b/>
        </w:rPr>
        <w:t>GESTÃO FI</w:t>
      </w:r>
      <w:r w:rsidRPr="00F81303">
        <w:rPr>
          <w:b/>
        </w:rPr>
        <w:t xml:space="preserve">NANCEIRA                            </w:t>
      </w:r>
    </w:p>
    <w:p w:rsidR="00C559D3" w:rsidRPr="005D627D" w:rsidRDefault="00C63706" w:rsidP="00DA7949">
      <w:pPr>
        <w:spacing w:after="0" w:line="360" w:lineRule="auto"/>
        <w:rPr>
          <w:b/>
        </w:rPr>
      </w:pPr>
      <w:r w:rsidRPr="005D627D">
        <w:rPr>
          <w:b/>
        </w:rPr>
        <w:t>1.1</w:t>
      </w:r>
      <w:r w:rsidRPr="005D627D">
        <w:rPr>
          <w:b/>
        </w:rPr>
        <w:t xml:space="preserve"> </w:t>
      </w:r>
      <w:r w:rsidRPr="005D627D">
        <w:rPr>
          <w:b/>
        </w:rPr>
        <w:t xml:space="preserve">RECURSOS EXIGÍVEIS                           </w:t>
      </w:r>
      <w:r w:rsidRPr="005D627D">
        <w:rPr>
          <w:b/>
        </w:rPr>
        <w:t xml:space="preserve"> </w:t>
      </w:r>
    </w:p>
    <w:p w:rsidR="0016745C" w:rsidRPr="00CD0297" w:rsidRDefault="00C63706" w:rsidP="009D79D9">
      <w:pPr>
        <w:spacing w:after="0" w:line="360" w:lineRule="auto"/>
        <w:rPr>
          <w:b/>
        </w:rPr>
      </w:pPr>
      <w:r w:rsidRPr="00CD0297">
        <w:rPr>
          <w:b/>
        </w:rPr>
        <w:lastRenderedPageBreak/>
        <w:t>1.1.1</w:t>
      </w:r>
      <w:r w:rsidRPr="00CD0297">
        <w:rPr>
          <w:b/>
        </w:rPr>
        <w:t xml:space="preserve"> </w:t>
      </w:r>
      <w:r w:rsidRPr="00CD0297">
        <w:rPr>
          <w:b/>
        </w:rPr>
        <w:t xml:space="preserve">RESTOS A PAGAR                               </w:t>
      </w:r>
      <w:r w:rsidRPr="00CD0297">
        <w:rPr>
          <w:b/>
        </w:rPr>
        <w:t xml:space="preserve"> </w:t>
      </w:r>
    </w:p>
    <w:p w:rsidR="00D526C2" w:rsidRPr="004339A0" w:rsidRDefault="00C63706" w:rsidP="00D526C2">
      <w:pPr>
        <w:spacing w:after="0" w:line="240" w:lineRule="auto"/>
        <w:rPr>
          <w:rFonts w:ascii="Arial" w:hAnsi="Arial" w:cs="Arial"/>
          <w:b/>
        </w:rPr>
      </w:pPr>
      <w:r w:rsidRPr="004339A0">
        <w:rPr>
          <w:b/>
        </w:rPr>
        <w:t>1.1.1.1</w:t>
      </w:r>
      <w:r w:rsidRPr="004339A0">
        <w:rPr>
          <w:rFonts w:ascii="Arial" w:hAnsi="Arial" w:cs="Arial"/>
          <w:b/>
        </w:rPr>
        <w:t xml:space="preserve"> </w:t>
      </w:r>
      <w:r w:rsidRPr="004339A0">
        <w:rPr>
          <w:b/>
        </w:rPr>
        <w:t>CONSTATAÇÃO</w:t>
      </w:r>
    </w:p>
    <w:p w:rsidR="00D526C2" w:rsidRPr="00B67E20" w:rsidRDefault="00C63706" w:rsidP="00D526C2">
      <w:pPr>
        <w:spacing w:after="0" w:line="240" w:lineRule="auto"/>
        <w:rPr>
          <w:b/>
        </w:rPr>
      </w:pPr>
    </w:p>
    <w:p w:rsidR="00D526C2" w:rsidRPr="00890103" w:rsidRDefault="00C63706" w:rsidP="00D526C2">
      <w:pPr>
        <w:spacing w:after="0" w:line="240" w:lineRule="auto"/>
        <w:rPr>
          <w:b/>
        </w:rPr>
      </w:pPr>
      <w:r w:rsidRPr="00890103">
        <w:rPr>
          <w:b/>
        </w:rPr>
        <w:t>Deficiência na inscrição de despesas em restos a pagar.</w:t>
      </w:r>
    </w:p>
    <w:p w:rsidR="00E03FB5" w:rsidRDefault="00C63706" w:rsidP="00743777">
      <w:pPr>
        <w:spacing w:after="0" w:line="240" w:lineRule="auto"/>
      </w:pPr>
    </w:p>
    <w:p w:rsidR="00D526C2" w:rsidRPr="004339A0" w:rsidRDefault="00C63706" w:rsidP="00D526C2">
      <w:pPr>
        <w:spacing w:after="0" w:line="240" w:lineRule="auto"/>
        <w:rPr>
          <w:rFonts w:ascii="Arial" w:hAnsi="Arial" w:cs="Arial"/>
          <w:b/>
        </w:rPr>
      </w:pPr>
      <w:r>
        <w:rPr>
          <w:b/>
        </w:rPr>
        <w:t>Fato</w:t>
      </w:r>
    </w:p>
    <w:p w:rsidR="00D526C2" w:rsidRPr="00B531A3" w:rsidRDefault="00C63706" w:rsidP="00D526C2">
      <w:pPr>
        <w:spacing w:after="0" w:line="240" w:lineRule="auto"/>
        <w:rPr>
          <w:b/>
        </w:rPr>
      </w:pPr>
    </w:p>
    <w:p w:rsidR="003543E9" w:rsidRDefault="00C63706" w:rsidP="003543E9">
      <w:pPr>
        <w:spacing w:before="100" w:beforeAutospacing="1" w:after="100" w:afterAutospacing="1" w:line="240" w:lineRule="auto"/>
        <w:contextualSpacing/>
        <w:jc w:val="both"/>
      </w:pPr>
      <w:r>
        <w:t xml:space="preserve">A partir das informações </w:t>
      </w:r>
      <w:r>
        <w:t>contidas no MEMO nº 201/15 GCF, de 17 de agosto de 2015, apresentado mediante o Ofício nº 488/2015-GR, de 18 de agosto de 2015, verificou-se que a UFRPE não vem adotando uma rotina na inscrição de despesas em restos a pagar que garanta a legitimidade da in</w:t>
      </w:r>
      <w:r>
        <w:t>scrição e consequente observância das disposições contidas nos incisos do art. 35 do Decreto nº 93.872/1986, tendo em vista que, após levantamento de todos os empenhos não liquidados passíveis de inscrição em restos a pagar no encerramento do exercício fin</w:t>
      </w:r>
      <w:r>
        <w:t>anceiro, e encaminhamento de processos devidamente instruídos aos setores da IFES interessados para indicação da inscrição ou cancelamento das despesas, alguns setores não apresenta</w:t>
      </w:r>
      <w:r>
        <w:t>ra</w:t>
      </w:r>
      <w:r>
        <w:t xml:space="preserve">m ao Departamento de Contabilidade os respectivos processos com as </w:t>
      </w:r>
      <w:r>
        <w:t>devidas análises, fazendo com que os saldos dos empenhos sejam inscritos em restos a pagar não processados. Cabe registrar que, se os diversos setores da UFRPE informassem tempestivamente ao Departamento de Contabilidade acerca da necessidade/intenção de i</w:t>
      </w:r>
      <w:r>
        <w:t xml:space="preserve">nscrição ou cancelamento dos saldos dos empenhos, inclusive indicando o devido enquadramento nos incisos do art. 35 do Decreto nº 93.872/1986, não haveria a necessidade de inscrição de um volume significativo de despesas em restos a pagar não processados, </w:t>
      </w:r>
      <w:r>
        <w:t>liberando parte do crédito orçamentário.</w:t>
      </w:r>
    </w:p>
    <w:p w:rsidR="00760A3B" w:rsidRDefault="00C63706" w:rsidP="003543E9">
      <w:pPr>
        <w:spacing w:before="100" w:beforeAutospacing="1" w:after="100" w:afterAutospacing="1" w:line="240" w:lineRule="auto"/>
        <w:contextualSpacing/>
        <w:jc w:val="both"/>
      </w:pPr>
    </w:p>
    <w:p w:rsidR="000B3106" w:rsidRDefault="00C63706" w:rsidP="003543E9">
      <w:pPr>
        <w:spacing w:before="100" w:beforeAutospacing="1" w:after="100" w:afterAutospacing="1" w:line="240" w:lineRule="auto"/>
        <w:contextualSpacing/>
        <w:jc w:val="both"/>
      </w:pPr>
      <w:r>
        <w:t>Registre-se que, conforme informado no MEMO nº 201/15 GCF, a Gerência de Contabilidade e Finanças da IFES não dispõe de setor específico responsável pelo controle da inscrição e cancelamento de restos a pagar</w:t>
      </w:r>
      <w:r>
        <w:t>. Refe</w:t>
      </w:r>
      <w:r>
        <w:t>rida gerência</w:t>
      </w:r>
      <w:r>
        <w:t xml:space="preserve"> possui um quadro de pessoal diminuto e iniciou processo de reestruturação no intuito de se adequar às mudanças promovidas na contabilidade aplicada ao setor público.</w:t>
      </w:r>
    </w:p>
    <w:p w:rsidR="000A4052" w:rsidRPr="009609CE" w:rsidRDefault="00C63706" w:rsidP="00F37271">
      <w:pPr>
        <w:spacing w:before="100" w:beforeAutospacing="1" w:after="100" w:afterAutospacing="1" w:line="240" w:lineRule="auto"/>
        <w:contextualSpacing/>
        <w:jc w:val="both"/>
      </w:pPr>
      <w:r w:rsidRPr="009609CE">
        <w:t xml:space="preserve"> </w:t>
      </w:r>
    </w:p>
    <w:p w:rsidR="000A4052" w:rsidRPr="00514268" w:rsidRDefault="00C63706" w:rsidP="00F37271">
      <w:pPr>
        <w:spacing w:before="100" w:beforeAutospacing="1" w:after="100" w:afterAutospacing="1" w:line="240" w:lineRule="auto"/>
        <w:contextualSpacing/>
        <w:jc w:val="both"/>
        <w:rPr>
          <w:color w:val="FFFFFF" w:themeColor="background1"/>
          <w:spacing w:val="-514"/>
          <w:sz w:val="2"/>
          <w:szCs w:val="2"/>
        </w:rPr>
      </w:pPr>
      <w:r w:rsidRPr="00514268">
        <w:rPr>
          <w:color w:val="FFFFFF" w:themeColor="background1"/>
          <w:spacing w:val="-514"/>
          <w:sz w:val="2"/>
          <w:szCs w:val="2"/>
        </w:rPr>
        <w:t>##/Fato##</w:t>
      </w:r>
    </w:p>
    <w:p w:rsidR="00D526C2" w:rsidRPr="004339A0" w:rsidRDefault="00C63706" w:rsidP="00D526C2">
      <w:pPr>
        <w:spacing w:after="0" w:line="240" w:lineRule="auto"/>
        <w:rPr>
          <w:rFonts w:ascii="Arial" w:hAnsi="Arial" w:cs="Arial"/>
          <w:b/>
        </w:rPr>
      </w:pPr>
      <w:r>
        <w:rPr>
          <w:b/>
        </w:rPr>
        <w:t>Causa</w:t>
      </w:r>
    </w:p>
    <w:p w:rsidR="00D526C2" w:rsidRPr="00B531A3" w:rsidRDefault="00C63706" w:rsidP="00D526C2">
      <w:pPr>
        <w:spacing w:after="0" w:line="240" w:lineRule="auto"/>
        <w:rPr>
          <w:b/>
        </w:rPr>
      </w:pPr>
    </w:p>
    <w:p w:rsidR="000B3106" w:rsidRDefault="00C63706" w:rsidP="00F37271">
      <w:pPr>
        <w:spacing w:before="100" w:beforeAutospacing="1" w:after="100" w:afterAutospacing="1" w:line="240" w:lineRule="auto"/>
        <w:contextualSpacing/>
        <w:jc w:val="both"/>
      </w:pPr>
      <w:r>
        <w:t>O gestor vem promovendo a inscrição de despesas em restos</w:t>
      </w:r>
      <w:r>
        <w:t xml:space="preserve"> a pagar sem comprovação documental de regularidade na inscrição.</w:t>
      </w:r>
    </w:p>
    <w:p w:rsidR="0025114A" w:rsidRPr="009609CE" w:rsidRDefault="00C63706" w:rsidP="00F37271">
      <w:pPr>
        <w:spacing w:before="100" w:beforeAutospacing="1" w:after="100" w:afterAutospacing="1"/>
        <w:contextualSpacing/>
        <w:jc w:val="both"/>
      </w:pPr>
      <w:r w:rsidRPr="009609CE">
        <w:t xml:space="preserve"> </w:t>
      </w:r>
    </w:p>
    <w:p w:rsidR="0025114A" w:rsidRPr="00514268" w:rsidRDefault="00C63706" w:rsidP="00F37271">
      <w:pPr>
        <w:spacing w:before="100" w:beforeAutospacing="1" w:after="100" w:afterAutospacing="1" w:line="240" w:lineRule="auto"/>
        <w:contextualSpacing/>
        <w:jc w:val="both"/>
        <w:rPr>
          <w:color w:val="FFFFFF" w:themeColor="background1"/>
          <w:spacing w:val="-514"/>
          <w:sz w:val="2"/>
          <w:szCs w:val="2"/>
        </w:rPr>
      </w:pPr>
      <w:r w:rsidRPr="00514268">
        <w:rPr>
          <w:color w:val="FFFFFF" w:themeColor="background1"/>
          <w:spacing w:val="-514"/>
          <w:sz w:val="2"/>
          <w:szCs w:val="2"/>
        </w:rPr>
        <w:t>##/Causa##</w:t>
      </w:r>
    </w:p>
    <w:p w:rsidR="00D526C2" w:rsidRPr="004339A0" w:rsidRDefault="00C63706" w:rsidP="00D526C2">
      <w:pPr>
        <w:spacing w:after="0" w:line="240" w:lineRule="auto"/>
        <w:rPr>
          <w:rFonts w:ascii="Arial" w:hAnsi="Arial" w:cs="Arial"/>
          <w:b/>
        </w:rPr>
      </w:pPr>
      <w:r>
        <w:rPr>
          <w:b/>
        </w:rPr>
        <w:t>Manifestação da Unidade Examinada</w:t>
      </w:r>
    </w:p>
    <w:p w:rsidR="00D526C2" w:rsidRPr="00B531A3" w:rsidRDefault="00C63706" w:rsidP="00D526C2">
      <w:pPr>
        <w:spacing w:after="0" w:line="240" w:lineRule="auto"/>
        <w:rPr>
          <w:b/>
        </w:rPr>
      </w:pPr>
    </w:p>
    <w:p w:rsidR="003543E9" w:rsidRDefault="00C63706" w:rsidP="003543E9">
      <w:pPr>
        <w:spacing w:before="100" w:beforeAutospacing="1" w:after="100" w:afterAutospacing="1" w:line="240" w:lineRule="auto"/>
        <w:contextualSpacing/>
        <w:jc w:val="both"/>
      </w:pPr>
      <w:r w:rsidRPr="003C1B5A">
        <w:t xml:space="preserve">Mediante o Ofício nº </w:t>
      </w:r>
      <w:r>
        <w:t>55</w:t>
      </w:r>
      <w:r w:rsidRPr="003C1B5A">
        <w:t>6/201</w:t>
      </w:r>
      <w:r>
        <w:t>5</w:t>
      </w:r>
      <w:r w:rsidRPr="003C1B5A">
        <w:t>-GR, de 1</w:t>
      </w:r>
      <w:r>
        <w:t>3</w:t>
      </w:r>
      <w:r w:rsidRPr="003C1B5A">
        <w:t xml:space="preserve"> de o</w:t>
      </w:r>
      <w:r>
        <w:t>utu</w:t>
      </w:r>
      <w:r w:rsidRPr="003C1B5A">
        <w:t>bro de 201</w:t>
      </w:r>
      <w:r>
        <w:t>5</w:t>
      </w:r>
      <w:r w:rsidRPr="003C1B5A">
        <w:t>, foi encaminhado o M</w:t>
      </w:r>
      <w:r>
        <w:t>EMO</w:t>
      </w:r>
      <w:r w:rsidRPr="003C1B5A">
        <w:t xml:space="preserve"> </w:t>
      </w:r>
      <w:r>
        <w:t>N</w:t>
      </w:r>
      <w:r w:rsidRPr="003C1B5A">
        <w:t xml:space="preserve">º </w:t>
      </w:r>
      <w:r>
        <w:t>249</w:t>
      </w:r>
      <w:r w:rsidRPr="003C1B5A">
        <w:t>/</w:t>
      </w:r>
      <w:r>
        <w:t>15 GCF, de 13</w:t>
      </w:r>
      <w:r w:rsidRPr="003C1B5A">
        <w:t xml:space="preserve"> de o</w:t>
      </w:r>
      <w:r>
        <w:t>utubro de 2015</w:t>
      </w:r>
      <w:r w:rsidRPr="003C1B5A">
        <w:t xml:space="preserve">, com a seguinte </w:t>
      </w:r>
      <w:r w:rsidRPr="003C1B5A">
        <w:t>informação:</w:t>
      </w:r>
    </w:p>
    <w:p w:rsidR="003543E9" w:rsidRDefault="00C63706" w:rsidP="003543E9">
      <w:pPr>
        <w:spacing w:before="100" w:beforeAutospacing="1" w:after="100" w:afterAutospacing="1" w:line="240" w:lineRule="auto"/>
        <w:contextualSpacing/>
        <w:jc w:val="both"/>
      </w:pPr>
    </w:p>
    <w:p w:rsidR="000D1886" w:rsidRDefault="00C63706" w:rsidP="003543E9">
      <w:pPr>
        <w:spacing w:before="100" w:beforeAutospacing="1" w:after="100" w:afterAutospacing="1" w:line="240" w:lineRule="auto"/>
        <w:contextualSpacing/>
        <w:jc w:val="both"/>
      </w:pPr>
      <w:r>
        <w:t>“</w:t>
      </w:r>
      <w:r w:rsidRPr="003C1B5A">
        <w:t>A Gerência de Contabilidade e Finanças encaminhará à Magnífica Reitora, até 30/10/2015, situação atual dos empenhos inscritos em restos a pagar e solicitará junto à mesma autorização para cancelamento dos saldos dos empenhos cujos gestores nã</w:t>
      </w:r>
      <w:r w:rsidRPr="003C1B5A">
        <w:t xml:space="preserve">o responderam à solicitação enviada referente </w:t>
      </w:r>
      <w:proofErr w:type="gramStart"/>
      <w:r w:rsidRPr="003C1B5A">
        <w:t>a</w:t>
      </w:r>
      <w:proofErr w:type="gramEnd"/>
      <w:r w:rsidRPr="003C1B5A">
        <w:t xml:space="preserve"> possibilidade de cancelamento ou continuidade da execução da despesa.</w:t>
      </w:r>
      <w:r>
        <w:t>”</w:t>
      </w:r>
    </w:p>
    <w:p w:rsidR="00A80F35" w:rsidRDefault="00C63706" w:rsidP="003543E9">
      <w:pPr>
        <w:spacing w:before="100" w:beforeAutospacing="1" w:after="100" w:afterAutospacing="1" w:line="240" w:lineRule="auto"/>
        <w:contextualSpacing/>
        <w:jc w:val="both"/>
      </w:pPr>
    </w:p>
    <w:p w:rsidR="00A80F35" w:rsidRDefault="00C63706" w:rsidP="003543E9">
      <w:pPr>
        <w:spacing w:before="100" w:beforeAutospacing="1" w:after="100" w:afterAutospacing="1" w:line="240" w:lineRule="auto"/>
        <w:contextualSpacing/>
        <w:jc w:val="both"/>
      </w:pPr>
      <w:r>
        <w:t xml:space="preserve">Em resposta ao Ofício nº 25.677/2015/AUD/CGU-Regional/PE-NAC 01, de </w:t>
      </w:r>
      <w:proofErr w:type="gramStart"/>
      <w:r>
        <w:t>6</w:t>
      </w:r>
      <w:proofErr w:type="gramEnd"/>
      <w:r>
        <w:t xml:space="preserve"> de novembro de 2015, quanto à apresentação de novos esclarecimento</w:t>
      </w:r>
      <w:r>
        <w:t xml:space="preserve">s à constatação registrada neste Relatório, a UFRPE, por intermédio do Ofício nº 599/2015-GR, de 13 de novembro de 2015, assim se manifestou: “(...) informamos que haverá novos </w:t>
      </w:r>
      <w:r>
        <w:lastRenderedPageBreak/>
        <w:t>esclarecimentos para as constatações (...) no momento da elaboração do Relatóri</w:t>
      </w:r>
      <w:r>
        <w:t>o de Gestão do exercício de 2015.”</w:t>
      </w:r>
    </w:p>
    <w:p w:rsidR="000A4052" w:rsidRPr="009609CE" w:rsidRDefault="00C63706" w:rsidP="00F37271">
      <w:pPr>
        <w:spacing w:before="100" w:beforeAutospacing="1" w:after="100" w:afterAutospacing="1" w:line="240" w:lineRule="auto"/>
        <w:contextualSpacing/>
        <w:jc w:val="both"/>
      </w:pPr>
      <w:r w:rsidRPr="009609CE">
        <w:t xml:space="preserve"> </w:t>
      </w:r>
    </w:p>
    <w:p w:rsidR="000A4052" w:rsidRPr="00514268" w:rsidRDefault="00C63706" w:rsidP="00F37271">
      <w:pPr>
        <w:spacing w:before="100" w:beforeAutospacing="1" w:after="100" w:afterAutospacing="1" w:line="240" w:lineRule="auto"/>
        <w:contextualSpacing/>
        <w:jc w:val="both"/>
        <w:rPr>
          <w:color w:val="FFFFFF" w:themeColor="background1"/>
          <w:spacing w:val="-514"/>
          <w:sz w:val="2"/>
          <w:szCs w:val="2"/>
        </w:rPr>
      </w:pPr>
      <w:r w:rsidRPr="00514268">
        <w:rPr>
          <w:color w:val="FFFFFF" w:themeColor="background1"/>
          <w:spacing w:val="-514"/>
          <w:sz w:val="2"/>
          <w:szCs w:val="2"/>
        </w:rPr>
        <w:t>##/ManifestacaoUnidadeExaminada##</w:t>
      </w:r>
    </w:p>
    <w:p w:rsidR="00D526C2" w:rsidRPr="004339A0" w:rsidRDefault="00C63706" w:rsidP="00D526C2">
      <w:pPr>
        <w:spacing w:after="0" w:line="240" w:lineRule="auto"/>
        <w:rPr>
          <w:rFonts w:ascii="Arial" w:hAnsi="Arial" w:cs="Arial"/>
          <w:b/>
        </w:rPr>
      </w:pPr>
      <w:r>
        <w:rPr>
          <w:b/>
        </w:rPr>
        <w:t>Análise do Controle Interno</w:t>
      </w:r>
    </w:p>
    <w:p w:rsidR="00D526C2" w:rsidRPr="00B531A3" w:rsidRDefault="00C63706" w:rsidP="00D526C2">
      <w:pPr>
        <w:spacing w:after="0" w:line="240" w:lineRule="auto"/>
        <w:rPr>
          <w:b/>
        </w:rPr>
      </w:pPr>
    </w:p>
    <w:p w:rsidR="003543E9" w:rsidRDefault="00C63706" w:rsidP="003543E9">
      <w:pPr>
        <w:spacing w:before="100" w:beforeAutospacing="1" w:after="100" w:afterAutospacing="1" w:line="240" w:lineRule="auto"/>
        <w:contextualSpacing/>
        <w:jc w:val="both"/>
      </w:pPr>
      <w:r w:rsidRPr="003C1B5A">
        <w:t>Consoante informação apresentada, ainda não existe na Entidade uma rotina que promova</w:t>
      </w:r>
      <w:r>
        <w:t>, tempestivamente,</w:t>
      </w:r>
      <w:r w:rsidRPr="003C1B5A">
        <w:t xml:space="preserve"> a inscrição de empenhos em restos a pagar de despesas </w:t>
      </w:r>
      <w:r>
        <w:t>para as quais esteja documentado o</w:t>
      </w:r>
      <w:r w:rsidRPr="003C1B5A">
        <w:t xml:space="preserve"> devido enquadramento nos incisos do art. 35 do Decreto nº 93.872/1986.</w:t>
      </w:r>
    </w:p>
    <w:p w:rsidR="003543E9" w:rsidRDefault="00C63706" w:rsidP="003543E9">
      <w:pPr>
        <w:spacing w:before="100" w:beforeAutospacing="1" w:after="100" w:afterAutospacing="1" w:line="240" w:lineRule="auto"/>
        <w:contextualSpacing/>
        <w:jc w:val="both"/>
      </w:pPr>
    </w:p>
    <w:p w:rsidR="003543E9" w:rsidRDefault="00C63706" w:rsidP="003543E9">
      <w:pPr>
        <w:spacing w:before="100" w:beforeAutospacing="1" w:after="100" w:afterAutospacing="1" w:line="240" w:lineRule="auto"/>
        <w:contextualSpacing/>
        <w:jc w:val="both"/>
      </w:pPr>
      <w:r w:rsidRPr="00E338D3">
        <w:t>Desta forma, percebe-</w:t>
      </w:r>
      <w:r>
        <w:t xml:space="preserve">se </w:t>
      </w:r>
      <w:r w:rsidRPr="00E338D3">
        <w:t>que a Entidade ainda não atendeu as seguintes recomendações do órgão d</w:t>
      </w:r>
      <w:r w:rsidRPr="00E338D3">
        <w:t xml:space="preserve">e controle interno dispostas no Relatório de Auditoria nº </w:t>
      </w:r>
      <w:r>
        <w:t>201410084</w:t>
      </w:r>
      <w:r w:rsidRPr="00E338D3">
        <w:t xml:space="preserve">, expedidas há </w:t>
      </w:r>
      <w:r>
        <w:t>um</w:t>
      </w:r>
      <w:r w:rsidRPr="00E338D3">
        <w:t xml:space="preserve"> ano:</w:t>
      </w:r>
    </w:p>
    <w:p w:rsidR="003543E9" w:rsidRPr="00E338D3" w:rsidRDefault="00C63706" w:rsidP="003543E9">
      <w:pPr>
        <w:spacing w:before="100" w:beforeAutospacing="1" w:after="100" w:afterAutospacing="1" w:line="240" w:lineRule="auto"/>
        <w:contextualSpacing/>
        <w:jc w:val="both"/>
      </w:pPr>
    </w:p>
    <w:p w:rsidR="000B3106" w:rsidRDefault="00C63706" w:rsidP="003543E9">
      <w:pPr>
        <w:spacing w:before="100" w:beforeAutospacing="1" w:after="100" w:afterAutospacing="1" w:line="240" w:lineRule="auto"/>
        <w:contextualSpacing/>
        <w:jc w:val="both"/>
      </w:pPr>
      <w:r w:rsidRPr="00E338D3">
        <w:t xml:space="preserve">Constatação </w:t>
      </w:r>
      <w:r>
        <w:t>3.1.1.1</w:t>
      </w:r>
      <w:r w:rsidRPr="00E338D3">
        <w:t xml:space="preserve">, Recomendação </w:t>
      </w:r>
      <w:proofErr w:type="gramStart"/>
      <w:r>
        <w:t>1</w:t>
      </w:r>
      <w:proofErr w:type="gramEnd"/>
      <w:r w:rsidRPr="00E338D3">
        <w:t>:</w:t>
      </w:r>
      <w:r>
        <w:t xml:space="preserve"> </w:t>
      </w:r>
      <w:r w:rsidRPr="00BE5EB7">
        <w:t xml:space="preserve">Estabelecer formalmente rotina, cuja cópia deve ser encaminhada ao Controle Interno, com prazos mensais limites definidos para </w:t>
      </w:r>
      <w:r w:rsidRPr="00BE5EB7">
        <w:t>cumprimento pelos setores/departamentos da UFRPE, acerca da comprovação do enquadramento no art. 35 do Decreto nº 93.872/1986 dos restos a pagar inscritos, ou seja, indicando o embasamento legal e a motivação que justifique a inscrição e permanência por ma</w:t>
      </w:r>
      <w:r w:rsidRPr="00BE5EB7">
        <w:t>is de um exercício, sob pena de cancelamento dos empen</w:t>
      </w:r>
      <w:r>
        <w:t xml:space="preserve">hos não devidamente comprovados; </w:t>
      </w:r>
      <w:r w:rsidRPr="00E338D3">
        <w:t xml:space="preserve">Recomendação </w:t>
      </w:r>
      <w:r>
        <w:t>2</w:t>
      </w:r>
      <w:r w:rsidRPr="00E338D3">
        <w:t xml:space="preserve">: </w:t>
      </w:r>
      <w:r w:rsidRPr="00BE5EB7">
        <w:t>Estruturar adequadamente em termos materiais e de recursos humanos o setor responsável pelo controle da inscrição e cancelamento de restos a pagar da UFR</w:t>
      </w:r>
      <w:r w:rsidRPr="00BE5EB7">
        <w:t>PE para fiel e tempestivo cumprimento da recomendação anterior.</w:t>
      </w:r>
    </w:p>
    <w:p w:rsidR="003543E9" w:rsidRDefault="00C63706" w:rsidP="003543E9">
      <w:pPr>
        <w:spacing w:before="100" w:beforeAutospacing="1" w:after="100" w:afterAutospacing="1" w:line="240" w:lineRule="auto"/>
        <w:contextualSpacing/>
        <w:jc w:val="both"/>
      </w:pPr>
    </w:p>
    <w:p w:rsidR="003543E9" w:rsidRDefault="00C63706" w:rsidP="003543E9">
      <w:pPr>
        <w:spacing w:before="100" w:beforeAutospacing="1" w:after="100" w:afterAutospacing="1" w:line="240" w:lineRule="auto"/>
        <w:contextualSpacing/>
        <w:jc w:val="both"/>
      </w:pPr>
      <w:r>
        <w:t>Cabe registrar que o apontamento desse tipo de impropriedade já havia sido registrado pelo órgão de controle interno há mais de seis anos, conforme as seguintes recomendações dispostas nos Re</w:t>
      </w:r>
      <w:r>
        <w:t xml:space="preserve">latórios de Auditoria </w:t>
      </w:r>
      <w:proofErr w:type="spellStart"/>
      <w:r>
        <w:t>nºs</w:t>
      </w:r>
      <w:proofErr w:type="spellEnd"/>
      <w:r>
        <w:t xml:space="preserve"> 224887 e 201203145:</w:t>
      </w:r>
    </w:p>
    <w:p w:rsidR="003543E9" w:rsidRDefault="00C63706" w:rsidP="003543E9">
      <w:pPr>
        <w:spacing w:before="100" w:beforeAutospacing="1" w:after="100" w:afterAutospacing="1" w:line="240" w:lineRule="auto"/>
        <w:contextualSpacing/>
        <w:jc w:val="both"/>
      </w:pPr>
    </w:p>
    <w:p w:rsidR="003543E9" w:rsidRDefault="00C63706" w:rsidP="003543E9">
      <w:pPr>
        <w:spacing w:before="100" w:beforeAutospacing="1" w:after="100" w:afterAutospacing="1" w:line="240" w:lineRule="auto"/>
        <w:contextualSpacing/>
        <w:jc w:val="both"/>
      </w:pPr>
      <w:r>
        <w:t>Relatório de Auditoria nº 224887, Constatação 028, Recomendação 001: Recomenda-se a UFRPE que observe rigorosamente as normas de direito financeiro, em especial o Princípio da Anualidade do Orçamento e as regr</w:t>
      </w:r>
      <w:r>
        <w:t>as para inscrição em restos a pagar, se abstendo de empenhar despesas que não sejam passíveis de se realizar dentro do exercício em curso, pertencendo aos seguintes anos.</w:t>
      </w:r>
    </w:p>
    <w:p w:rsidR="003543E9" w:rsidRDefault="00C63706" w:rsidP="003543E9">
      <w:pPr>
        <w:spacing w:before="100" w:beforeAutospacing="1" w:after="100" w:afterAutospacing="1" w:line="240" w:lineRule="auto"/>
        <w:contextualSpacing/>
        <w:jc w:val="both"/>
      </w:pPr>
    </w:p>
    <w:p w:rsidR="003543E9" w:rsidRDefault="00C63706" w:rsidP="003543E9">
      <w:pPr>
        <w:spacing w:before="100" w:beforeAutospacing="1" w:after="100" w:afterAutospacing="1" w:line="240" w:lineRule="auto"/>
        <w:contextualSpacing/>
        <w:jc w:val="both"/>
      </w:pPr>
      <w:r>
        <w:t xml:space="preserve">Relatório de Auditoria nº 201203145, Constatação 5.1.4.1, Recomendação </w:t>
      </w:r>
      <w:proofErr w:type="gramStart"/>
      <w:r>
        <w:t>1</w:t>
      </w:r>
      <w:proofErr w:type="gramEnd"/>
      <w:r>
        <w:t>: Institua u</w:t>
      </w:r>
      <w:r>
        <w:t>m processo contínuo de acompanhamento dos valores inscritos em restos a pagar, formalizando processos relativos às inscrições para fazer constar a documentação comprobatória correspondente ao inciso previsto no art. 35 do Decreto n.º 93.872/86, ou seja, in</w:t>
      </w:r>
      <w:r>
        <w:t>dicando o embasamento legal e a motivação que justifique a inscrição e sua permanência por mais de um exercício.</w:t>
      </w:r>
    </w:p>
    <w:p w:rsidR="000A4052" w:rsidRPr="009609CE" w:rsidRDefault="00C63706" w:rsidP="00F37271">
      <w:pPr>
        <w:spacing w:before="100" w:beforeAutospacing="1" w:after="100" w:afterAutospacing="1" w:line="240" w:lineRule="auto"/>
        <w:contextualSpacing/>
        <w:jc w:val="both"/>
      </w:pPr>
      <w:r w:rsidRPr="009609CE">
        <w:t xml:space="preserve"> </w:t>
      </w:r>
    </w:p>
    <w:p w:rsidR="000A4052" w:rsidRPr="00514268" w:rsidRDefault="00C63706" w:rsidP="00F37271">
      <w:pPr>
        <w:spacing w:before="100" w:beforeAutospacing="1" w:after="100" w:afterAutospacing="1" w:line="240" w:lineRule="auto"/>
        <w:contextualSpacing/>
        <w:jc w:val="both"/>
        <w:rPr>
          <w:color w:val="FFFFFF" w:themeColor="background1"/>
          <w:spacing w:val="-514"/>
          <w:sz w:val="2"/>
          <w:szCs w:val="2"/>
        </w:rPr>
      </w:pPr>
      <w:r w:rsidRPr="00514268">
        <w:rPr>
          <w:color w:val="FFFFFF" w:themeColor="background1"/>
          <w:spacing w:val="-514"/>
          <w:sz w:val="2"/>
          <w:szCs w:val="2"/>
        </w:rPr>
        <w:t>##/AnaliseControleInterno##</w:t>
      </w:r>
    </w:p>
    <w:p w:rsidR="000F5F8E" w:rsidRPr="004339A0" w:rsidRDefault="00C63706" w:rsidP="00D509D8">
      <w:pPr>
        <w:spacing w:after="0" w:line="240" w:lineRule="auto"/>
        <w:jc w:val="both"/>
        <w:rPr>
          <w:b/>
        </w:rPr>
      </w:pPr>
      <w:r w:rsidRPr="004339A0">
        <w:rPr>
          <w:b/>
        </w:rPr>
        <w:t>Recomendações:</w:t>
      </w:r>
    </w:p>
    <w:p w:rsidR="003E24DF" w:rsidRDefault="00C63706" w:rsidP="00EF4848">
      <w:pPr>
        <w:spacing w:after="0" w:line="240" w:lineRule="auto"/>
        <w:jc w:val="both"/>
      </w:pPr>
      <w:r>
        <w:t xml:space="preserve">Recomendação 1: Estabelecer formalmente rotina, em prazo não superior a 120 dias, cuja cópia deve </w:t>
      </w:r>
      <w:r>
        <w:t>ser encaminhada ao Controle Interno até o fim desse prazo, com prazos mensais limites definidos para cumprimento pelos setores/departamentos da UFRPE, acerca da comprovação do enquadramento no art. 35 do Decreto nº 93.872/1986 dos restos a pagar inscritos,</w:t>
      </w:r>
      <w:r>
        <w:t xml:space="preserve"> ou seja, indicando o embasamento legal e a motivação que justifique a inscrição e permanência por mais de um exercício, sob pena de imediato cancelamento dos empenhos não devidamente comprovados.</w:t>
      </w:r>
    </w:p>
    <w:p w:rsidR="00EE78AC" w:rsidRPr="00FF7D89" w:rsidRDefault="00C63706" w:rsidP="00EF4848">
      <w:pPr>
        <w:spacing w:after="0" w:line="240" w:lineRule="auto"/>
        <w:jc w:val="both"/>
      </w:pPr>
    </w:p>
    <w:p w:rsidR="003E24DF" w:rsidRDefault="00C63706" w:rsidP="00EF4848">
      <w:pPr>
        <w:spacing w:after="0" w:line="240" w:lineRule="auto"/>
        <w:jc w:val="both"/>
      </w:pPr>
      <w:r>
        <w:lastRenderedPageBreak/>
        <w:t>Recomendação 2: Estruturar adequadamente, em prazo não sup</w:t>
      </w:r>
      <w:r>
        <w:t>erior a 120 dias, em termos materiais e de recursos humanos, o setor responsável pelo controle da inscrição e cancelamento de restos a pagar da UFRPE para fiel e tempestivo cumprimento da recomendação anterior.</w:t>
      </w:r>
    </w:p>
    <w:p w:rsidR="00EE78AC" w:rsidRPr="00FF7D89" w:rsidRDefault="00C63706" w:rsidP="00EF4848">
      <w:pPr>
        <w:spacing w:after="0" w:line="240" w:lineRule="auto"/>
        <w:jc w:val="both"/>
      </w:pPr>
    </w:p>
    <w:p w:rsidR="00516FB4" w:rsidRPr="007F413D" w:rsidRDefault="00C63706" w:rsidP="007F413D">
      <w:pPr>
        <w:spacing w:after="0" w:line="240" w:lineRule="auto"/>
        <w:jc w:val="both"/>
        <w:rPr>
          <w:rFonts w:eastAsia="Times New Roman"/>
          <w:lang w:eastAsia="pt-BR"/>
        </w:rPr>
      </w:pPr>
      <w:bookmarkStart w:id="1" w:name="bookmark0"/>
      <w:bookmarkEnd w:id="1"/>
    </w:p>
    <w:p w:rsidR="00D526C2" w:rsidRPr="00F81303" w:rsidRDefault="00C63706" w:rsidP="0032314A">
      <w:pPr>
        <w:spacing w:after="0" w:line="360" w:lineRule="auto"/>
        <w:rPr>
          <w:rFonts w:eastAsia="Times New Roman"/>
          <w:b/>
          <w:lang w:eastAsia="pt-BR"/>
        </w:rPr>
      </w:pPr>
      <w:r w:rsidRPr="00F81303">
        <w:rPr>
          <w:b/>
        </w:rPr>
        <w:t>2</w:t>
      </w:r>
      <w:r w:rsidRPr="00F81303">
        <w:rPr>
          <w:b/>
        </w:rPr>
        <w:t xml:space="preserve"> </w:t>
      </w:r>
      <w:r w:rsidRPr="00F81303">
        <w:rPr>
          <w:b/>
        </w:rPr>
        <w:t xml:space="preserve">GESTÃO ORÇAMENTÁRIA                          </w:t>
      </w:r>
    </w:p>
    <w:p w:rsidR="00C559D3" w:rsidRPr="005D627D" w:rsidRDefault="00C63706" w:rsidP="00DA7949">
      <w:pPr>
        <w:spacing w:after="0" w:line="360" w:lineRule="auto"/>
        <w:rPr>
          <w:b/>
        </w:rPr>
      </w:pPr>
      <w:r w:rsidRPr="005D627D">
        <w:rPr>
          <w:b/>
        </w:rPr>
        <w:t>2.1</w:t>
      </w:r>
      <w:r w:rsidRPr="005D627D">
        <w:rPr>
          <w:b/>
        </w:rPr>
        <w:t xml:space="preserve"> </w:t>
      </w:r>
      <w:r w:rsidRPr="005D627D">
        <w:rPr>
          <w:b/>
        </w:rPr>
        <w:t xml:space="preserve">CONVÊNIOS/SUBVENÇÕES                         </w:t>
      </w:r>
      <w:r w:rsidRPr="005D627D">
        <w:rPr>
          <w:b/>
        </w:rPr>
        <w:t xml:space="preserve"> </w:t>
      </w:r>
    </w:p>
    <w:p w:rsidR="0016745C" w:rsidRPr="00CD0297" w:rsidRDefault="00C63706" w:rsidP="009D79D9">
      <w:pPr>
        <w:spacing w:after="0" w:line="360" w:lineRule="auto"/>
        <w:rPr>
          <w:b/>
        </w:rPr>
      </w:pPr>
      <w:r w:rsidRPr="00CD0297">
        <w:rPr>
          <w:b/>
        </w:rPr>
        <w:t>2.1.1</w:t>
      </w:r>
      <w:r w:rsidRPr="00CD0297">
        <w:rPr>
          <w:b/>
        </w:rPr>
        <w:t xml:space="preserve"> </w:t>
      </w:r>
      <w:r w:rsidRPr="00CD0297">
        <w:rPr>
          <w:b/>
        </w:rPr>
        <w:t xml:space="preserve">FORMALIZAÇÃO LEGAL                           </w:t>
      </w:r>
      <w:r w:rsidRPr="00CD0297">
        <w:rPr>
          <w:b/>
        </w:rPr>
        <w:t xml:space="preserve"> </w:t>
      </w:r>
    </w:p>
    <w:p w:rsidR="00D526C2" w:rsidRPr="004339A0" w:rsidRDefault="00C63706" w:rsidP="00D526C2">
      <w:pPr>
        <w:spacing w:after="0" w:line="240" w:lineRule="auto"/>
        <w:rPr>
          <w:rFonts w:ascii="Arial" w:hAnsi="Arial" w:cs="Arial"/>
          <w:b/>
        </w:rPr>
      </w:pPr>
      <w:r w:rsidRPr="004339A0">
        <w:rPr>
          <w:b/>
        </w:rPr>
        <w:t>2.1.1.1</w:t>
      </w:r>
      <w:r w:rsidRPr="004339A0">
        <w:rPr>
          <w:rFonts w:ascii="Arial" w:hAnsi="Arial" w:cs="Arial"/>
          <w:b/>
        </w:rPr>
        <w:t xml:space="preserve"> </w:t>
      </w:r>
      <w:r w:rsidRPr="004339A0">
        <w:rPr>
          <w:b/>
        </w:rPr>
        <w:t>INFORMAÇÃO</w:t>
      </w:r>
    </w:p>
    <w:p w:rsidR="00D526C2" w:rsidRPr="00B67E20" w:rsidRDefault="00C63706" w:rsidP="00D526C2">
      <w:pPr>
        <w:spacing w:after="0" w:line="240" w:lineRule="auto"/>
        <w:rPr>
          <w:b/>
        </w:rPr>
      </w:pPr>
    </w:p>
    <w:p w:rsidR="00D526C2" w:rsidRPr="00890103" w:rsidRDefault="00C63706" w:rsidP="00D526C2">
      <w:pPr>
        <w:spacing w:after="0" w:line="240" w:lineRule="auto"/>
        <w:rPr>
          <w:b/>
        </w:rPr>
      </w:pPr>
      <w:r w:rsidRPr="00890103">
        <w:rPr>
          <w:b/>
        </w:rPr>
        <w:t>Autorização para participação de servidores da UFRPE na execução de convênios firmados pela Entidade.</w:t>
      </w:r>
    </w:p>
    <w:p w:rsidR="00E03FB5" w:rsidRDefault="00C63706" w:rsidP="00743777">
      <w:pPr>
        <w:spacing w:after="0" w:line="240" w:lineRule="auto"/>
      </w:pPr>
    </w:p>
    <w:p w:rsidR="00D526C2" w:rsidRPr="004339A0" w:rsidRDefault="00C63706" w:rsidP="00D526C2">
      <w:pPr>
        <w:spacing w:after="0" w:line="240" w:lineRule="auto"/>
        <w:rPr>
          <w:rFonts w:ascii="Arial" w:hAnsi="Arial" w:cs="Arial"/>
          <w:b/>
        </w:rPr>
      </w:pPr>
      <w:r>
        <w:rPr>
          <w:b/>
        </w:rPr>
        <w:t>Fato</w:t>
      </w:r>
    </w:p>
    <w:p w:rsidR="00D526C2" w:rsidRPr="00B531A3" w:rsidRDefault="00C63706" w:rsidP="00D526C2">
      <w:pPr>
        <w:spacing w:after="0" w:line="240" w:lineRule="auto"/>
        <w:rPr>
          <w:b/>
        </w:rPr>
      </w:pPr>
    </w:p>
    <w:p w:rsidR="00D309E0" w:rsidRDefault="00C63706" w:rsidP="00D309E0">
      <w:pPr>
        <w:spacing w:before="100" w:beforeAutospacing="1" w:after="100" w:afterAutospacing="1" w:line="240" w:lineRule="auto"/>
        <w:contextualSpacing/>
        <w:jc w:val="both"/>
      </w:pPr>
      <w:r>
        <w:t xml:space="preserve">Mediante análise de três termos de convênios firmados em 2014 pela UFRPE com a Fundação Apolônio Salles de Desenvolvimento Educacional – FADURPE e </w:t>
      </w:r>
      <w:r>
        <w:t>de documentação encaminhada por meio do Ofício nº 540/2015-GR, de 30 de setembro de 2015, verificou-se a existência de expedientes dos diretores dos Departamentos de Educação, Ciências Sociais, Economia Doméstica e de Educação à Distância e Tecnologia decl</w:t>
      </w:r>
      <w:r>
        <w:t>arando ou autorizando a participação de docentes ou de técnicos administrativos em atividades desenvolvidas no âmbito dos projetos objetos dos Convênios nº 01 (Formar educadores em Economia Solidária que trabalhem com a perspectiva da formação, da assessor</w:t>
      </w:r>
      <w:r>
        <w:t xml:space="preserve">ia técnica, da elevação de escolaridade, da inclusão digital e do acesso a tecnologias pelos trabalhadores da economia solidária), </w:t>
      </w:r>
      <w:r>
        <w:t xml:space="preserve">nº </w:t>
      </w:r>
      <w:r>
        <w:t>02 (</w:t>
      </w:r>
      <w:r>
        <w:t>R</w:t>
      </w:r>
      <w:r>
        <w:t>ealizar ações referentes aos semestres letivos dos cursos ofertados pela UFRPE, a saber: Sistemas de Informação, Letr</w:t>
      </w:r>
      <w:r>
        <w:t>as, Computação, Física, Pedagogia, História, Interdisciplinar em Ciências Naturais, Artes Visuais Digitais, Administração Pública, Gestão Pública e Gestão Pública Municipal, no âmbito do Sistema Universidade Aberta do Brasil – UAB, da Coordenação de Aperfe</w:t>
      </w:r>
      <w:r>
        <w:t>içoamento de Pessoal de Nível Superior (CAPES), de acordo com as especificações, quantitativos e condições constantes da planilha orçamentária em anexo a</w:t>
      </w:r>
      <w:r>
        <w:t>o</w:t>
      </w:r>
      <w:r>
        <w:t xml:space="preserve"> plano de trabalho) e </w:t>
      </w:r>
      <w:r>
        <w:t xml:space="preserve">nº </w:t>
      </w:r>
      <w:r>
        <w:t>04/2014 (Apoiar a execução dos cursos de capacitação em melhores práticas ped</w:t>
      </w:r>
      <w:r>
        <w:t xml:space="preserve">agógicas na assistência social com fins de execução do Programa Nacional de Capacitação Permanente </w:t>
      </w:r>
      <w:proofErr w:type="gramStart"/>
      <w:r>
        <w:t>do SUAS</w:t>
      </w:r>
      <w:proofErr w:type="gramEnd"/>
      <w:r>
        <w:t xml:space="preserve"> – Programa Capacita SUAS no âmbito do estado de Pernambuco).</w:t>
      </w:r>
    </w:p>
    <w:p w:rsidR="00611313" w:rsidRDefault="00C63706" w:rsidP="00D309E0">
      <w:pPr>
        <w:spacing w:before="100" w:beforeAutospacing="1" w:after="100" w:afterAutospacing="1" w:line="240" w:lineRule="auto"/>
        <w:contextualSpacing/>
        <w:jc w:val="both"/>
      </w:pPr>
    </w:p>
    <w:p w:rsidR="00D309E0" w:rsidRDefault="00C63706" w:rsidP="00D309E0">
      <w:pPr>
        <w:spacing w:before="100" w:beforeAutospacing="1" w:after="100" w:afterAutospacing="1" w:line="240" w:lineRule="auto"/>
        <w:contextualSpacing/>
        <w:jc w:val="both"/>
      </w:pPr>
      <w:r>
        <w:t>N</w:t>
      </w:r>
      <w:r>
        <w:t xml:space="preserve">ão foi observado nesses instrumentos que a FADURPE tenha assumido compromissos em seu </w:t>
      </w:r>
      <w:r>
        <w:t>nome, relevando ou diminuindo a participação da UFRPE na execução do projeto.</w:t>
      </w:r>
    </w:p>
    <w:p w:rsidR="00D309E0" w:rsidRDefault="00C63706" w:rsidP="00D309E0">
      <w:pPr>
        <w:spacing w:before="100" w:beforeAutospacing="1" w:after="100" w:afterAutospacing="1" w:line="240" w:lineRule="auto"/>
        <w:contextualSpacing/>
        <w:jc w:val="both"/>
      </w:pPr>
    </w:p>
    <w:p w:rsidR="00D309E0" w:rsidRDefault="00C63706" w:rsidP="00D309E0">
      <w:pPr>
        <w:spacing w:before="100" w:beforeAutospacing="1" w:after="100" w:afterAutospacing="1" w:line="240" w:lineRule="auto"/>
        <w:contextualSpacing/>
        <w:jc w:val="both"/>
      </w:pPr>
      <w:r>
        <w:t>Desta forma, percebe-se que a Entidade não mais incorre em impropriedade que fora objeto de recomendação do órgão de controle interno disposta no Relatório de Auditoria nº 20121</w:t>
      </w:r>
      <w:r>
        <w:t>1886:</w:t>
      </w:r>
    </w:p>
    <w:p w:rsidR="00D309E0" w:rsidRDefault="00C63706" w:rsidP="00D309E0">
      <w:pPr>
        <w:spacing w:before="100" w:beforeAutospacing="1" w:after="100" w:afterAutospacing="1" w:line="240" w:lineRule="auto"/>
        <w:contextualSpacing/>
        <w:jc w:val="both"/>
      </w:pPr>
    </w:p>
    <w:p w:rsidR="000B3106" w:rsidRDefault="00C63706" w:rsidP="00D309E0">
      <w:pPr>
        <w:spacing w:before="100" w:beforeAutospacing="1" w:after="100" w:afterAutospacing="1" w:line="240" w:lineRule="auto"/>
        <w:contextualSpacing/>
        <w:jc w:val="both"/>
      </w:pPr>
      <w:r>
        <w:t>Constatação 1.1.1.5 (005), Recomendação 001: Recomenda-se à UFRPE que não permita que a FADURPE assuma compromissos em seu nome, formalizando o termo em nome da Universidade e, caso necessite, formalize contratos/convênios com a fundação de apoio, n</w:t>
      </w:r>
      <w:r>
        <w:t>os temos da Lei nº 8.958, de 20/12/1994.</w:t>
      </w:r>
    </w:p>
    <w:p w:rsidR="000A4052" w:rsidRPr="009609CE" w:rsidRDefault="00C63706" w:rsidP="00F37271">
      <w:pPr>
        <w:spacing w:before="100" w:beforeAutospacing="1" w:after="100" w:afterAutospacing="1" w:line="240" w:lineRule="auto"/>
        <w:contextualSpacing/>
        <w:jc w:val="both"/>
      </w:pPr>
      <w:r w:rsidRPr="009609CE">
        <w:t xml:space="preserve"> </w:t>
      </w:r>
    </w:p>
    <w:p w:rsidR="000A4052" w:rsidRPr="00514268" w:rsidRDefault="00C63706" w:rsidP="00F37271">
      <w:pPr>
        <w:spacing w:before="100" w:beforeAutospacing="1" w:after="100" w:afterAutospacing="1" w:line="240" w:lineRule="auto"/>
        <w:contextualSpacing/>
        <w:jc w:val="both"/>
        <w:rPr>
          <w:color w:val="FFFFFF" w:themeColor="background1"/>
          <w:spacing w:val="-514"/>
          <w:sz w:val="2"/>
          <w:szCs w:val="2"/>
        </w:rPr>
      </w:pPr>
      <w:r w:rsidRPr="00514268">
        <w:rPr>
          <w:color w:val="FFFFFF" w:themeColor="background1"/>
          <w:spacing w:val="-514"/>
          <w:sz w:val="2"/>
          <w:szCs w:val="2"/>
        </w:rPr>
        <w:t>##/Fato##</w:t>
      </w:r>
    </w:p>
    <w:p w:rsidR="00B91EE0" w:rsidRDefault="00B91EE0" w:rsidP="00AE511C">
      <w:pPr>
        <w:spacing w:after="0" w:line="240" w:lineRule="auto"/>
        <w:rPr>
          <w:rFonts w:eastAsia="Times New Roman"/>
          <w:b/>
          <w:lang w:eastAsia="pt-BR"/>
        </w:rPr>
      </w:pPr>
    </w:p>
    <w:p w:rsidR="00AE511C" w:rsidRPr="000C55E2" w:rsidRDefault="00AE511C" w:rsidP="00AE511C">
      <w:pPr>
        <w:spacing w:after="0" w:line="240" w:lineRule="auto"/>
        <w:rPr>
          <w:rFonts w:eastAsia="Times New Roman"/>
          <w:b/>
          <w:lang w:eastAsia="pt-BR"/>
        </w:rPr>
      </w:pPr>
      <w:r w:rsidRPr="00E63182">
        <w:rPr>
          <w:rFonts w:eastAsia="Times New Roman"/>
          <w:b/>
          <w:lang w:eastAsia="pt-BR"/>
        </w:rPr>
        <w:t>I</w:t>
      </w:r>
      <w:r>
        <w:rPr>
          <w:rFonts w:eastAsia="Times New Roman"/>
          <w:b/>
          <w:lang w:eastAsia="pt-BR"/>
        </w:rPr>
        <w:t>I</w:t>
      </w:r>
      <w:r w:rsidR="00B91EE0">
        <w:rPr>
          <w:rFonts w:eastAsia="Times New Roman"/>
          <w:b/>
          <w:lang w:eastAsia="pt-BR"/>
        </w:rPr>
        <w:t>I</w:t>
      </w:r>
      <w:r w:rsidRPr="00E63182">
        <w:rPr>
          <w:rFonts w:eastAsia="Times New Roman"/>
          <w:b/>
          <w:lang w:eastAsia="pt-BR"/>
        </w:rPr>
        <w:t xml:space="preserve"> – </w:t>
      </w:r>
      <w:r>
        <w:rPr>
          <w:rFonts w:eastAsia="Times New Roman"/>
          <w:b/>
          <w:lang w:eastAsia="pt-BR"/>
        </w:rPr>
        <w:t>CONCLUSÃO</w:t>
      </w:r>
    </w:p>
    <w:p w:rsidR="00B91EE0" w:rsidRDefault="00B91EE0" w:rsidP="00AE511C">
      <w:pPr>
        <w:spacing w:after="0" w:line="240" w:lineRule="auto"/>
        <w:jc w:val="both"/>
        <w:rPr>
          <w:rFonts w:eastAsia="Times New Roman"/>
          <w:lang w:eastAsia="pt-BR"/>
        </w:rPr>
      </w:pPr>
    </w:p>
    <w:p w:rsidR="00172223" w:rsidRDefault="00C63706" w:rsidP="00172223">
      <w:pPr>
        <w:rPr>
          <w:sz w:val="16"/>
          <w:szCs w:val="16"/>
        </w:rPr>
      </w:pPr>
    </w:p>
    <w:p w:rsidR="00172223" w:rsidRPr="00172223" w:rsidRDefault="00C63706" w:rsidP="00DB523C">
      <w:pPr>
        <w:jc w:val="both"/>
        <w:rPr>
          <w:sz w:val="16"/>
          <w:szCs w:val="16"/>
        </w:rPr>
      </w:pPr>
      <w:r w:rsidRPr="00EA2E1E">
        <w:t xml:space="preserve">Em face dos exames realizados, somos de opinião que a </w:t>
      </w:r>
      <w:r>
        <w:t>UFRPE</w:t>
      </w:r>
      <w:r w:rsidRPr="00EA2E1E">
        <w:t xml:space="preserve"> deve adotar medidas corretivas com vistas a elidir o ponto ressalvado no ite</w:t>
      </w:r>
      <w:r>
        <w:t>m</w:t>
      </w:r>
      <w:r>
        <w:t xml:space="preserve"> 1.</w:t>
      </w:r>
      <w:r>
        <w:t>1</w:t>
      </w:r>
      <w:r>
        <w:t>.</w:t>
      </w:r>
      <w:r>
        <w:t>1</w:t>
      </w:r>
      <w:r>
        <w:t>.1.</w:t>
      </w:r>
    </w:p>
    <w:p w:rsidR="00AE511C" w:rsidRDefault="00AE511C" w:rsidP="00AE511C">
      <w:pPr>
        <w:spacing w:after="0" w:line="240" w:lineRule="auto"/>
        <w:rPr>
          <w:rFonts w:eastAsia="Times New Roman"/>
          <w:lang w:eastAsia="pt-BR"/>
        </w:rPr>
      </w:pPr>
    </w:p>
    <w:p w:rsidR="00AE511C" w:rsidRPr="0073650D" w:rsidRDefault="00443368" w:rsidP="00AE511C">
      <w:pPr>
        <w:spacing w:after="0" w:line="240" w:lineRule="auto"/>
        <w:jc w:val="right"/>
        <w:rPr>
          <w:rFonts w:eastAsia="Times New Roman"/>
          <w:lang w:eastAsia="pt-BR"/>
        </w:rPr>
      </w:pPr>
      <w:r>
        <w:rPr>
          <w:rFonts w:eastAsia="Times New Roman"/>
          <w:bCs/>
          <w:lang w:eastAsia="pt-BR"/>
        </w:rPr>
        <w:t>Recife</w:t>
      </w:r>
      <w:r w:rsidR="00AE511C" w:rsidRPr="0073650D">
        <w:rPr>
          <w:rFonts w:eastAsia="Times New Roman"/>
          <w:lang w:eastAsia="pt-BR"/>
        </w:rPr>
        <w:t>/</w:t>
      </w:r>
      <w:r>
        <w:rPr>
          <w:rFonts w:eastAsia="Times New Roman"/>
          <w:bCs/>
          <w:lang w:eastAsia="pt-BR"/>
        </w:rPr>
        <w:t>PE</w:t>
      </w:r>
      <w:r w:rsidR="00AE511C" w:rsidRPr="0073650D">
        <w:rPr>
          <w:rFonts w:eastAsia="Times New Roman"/>
          <w:lang w:eastAsia="pt-BR"/>
        </w:rPr>
        <w:t>,</w:t>
      </w:r>
      <w:r w:rsidR="00AE511C">
        <w:rPr>
          <w:rFonts w:eastAsia="Times New Roman"/>
          <w:lang w:eastAsia="pt-BR"/>
        </w:rPr>
        <w:t xml:space="preserve"> </w:t>
      </w:r>
      <w:r>
        <w:rPr>
          <w:rFonts w:eastAsia="Times New Roman"/>
          <w:bCs/>
          <w:lang w:eastAsia="pt-BR"/>
        </w:rPr>
        <w:t>26 de novembro de 2015</w:t>
      </w:r>
      <w:r w:rsidR="00AE511C" w:rsidRPr="0073650D">
        <w:rPr>
          <w:rFonts w:eastAsia="Times New Roman"/>
          <w:lang w:eastAsia="pt-BR"/>
        </w:rPr>
        <w:t>.</w:t>
      </w:r>
    </w:p>
    <w:p w:rsidR="00AE511C" w:rsidRDefault="00AE511C" w:rsidP="00AE511C">
      <w:pPr>
        <w:spacing w:after="0" w:line="240" w:lineRule="auto"/>
        <w:rPr>
          <w:rFonts w:eastAsia="Times New Roman"/>
          <w:b/>
          <w:bCs/>
          <w:lang w:eastAsia="pt-BR"/>
        </w:rPr>
      </w:pPr>
    </w:p>
    <w:p w:rsidR="00AE511C" w:rsidRPr="0073650D" w:rsidRDefault="00821774" w:rsidP="00AE511C">
      <w:pPr>
        <w:spacing w:after="0" w:line="240" w:lineRule="auto"/>
        <w:rPr>
          <w:rFonts w:eastAsia="Times New Roman"/>
          <w:b/>
          <w:bCs/>
          <w:lang w:eastAsia="pt-BR"/>
        </w:rPr>
      </w:pPr>
      <w:r>
        <w:rPr>
          <w:rFonts w:eastAsia="Times New Roman"/>
          <w:b/>
          <w:bCs/>
          <w:lang w:eastAsia="pt-BR"/>
        </w:rPr>
        <w:t>Equipe Técnica</w:t>
      </w:r>
    </w:p>
    <w:p w:rsidR="00636E9A" w:rsidRPr="00636E9A" w:rsidRDefault="00C63706" w:rsidP="00636E9A">
      <w:pPr>
        <w:spacing w:after="0" w:line="240" w:lineRule="auto"/>
      </w:pPr>
      <w:r w:rsidRPr="00636E9A">
        <w:rPr>
          <w:rFonts w:eastAsia="Times New Roman"/>
          <w:b/>
          <w:bCs/>
          <w:lang w:eastAsia="pt-BR"/>
        </w:rPr>
        <w:t>Nome:</w:t>
      </w:r>
      <w:r w:rsidRPr="00636E9A">
        <w:rPr>
          <w:rFonts w:eastAsia="Times New Roman"/>
          <w:lang w:eastAsia="pt-BR"/>
        </w:rPr>
        <w:t xml:space="preserve"> </w:t>
      </w:r>
      <w:r>
        <w:rPr>
          <w:rFonts w:eastAsia="Times New Roman"/>
          <w:lang w:eastAsia="pt-BR"/>
        </w:rPr>
        <w:t>SERGIO ANISIO BEZERRA SILVA</w:t>
      </w:r>
    </w:p>
    <w:p w:rsidR="00636E9A" w:rsidRPr="00636E9A" w:rsidRDefault="00C63706" w:rsidP="00636E9A">
      <w:pPr>
        <w:spacing w:after="0" w:line="240" w:lineRule="auto"/>
      </w:pPr>
      <w:r w:rsidRPr="00636E9A">
        <w:rPr>
          <w:rFonts w:eastAsia="Times New Roman"/>
          <w:b/>
          <w:bCs/>
          <w:lang w:eastAsia="pt-BR"/>
        </w:rPr>
        <w:t>Cargo:</w:t>
      </w:r>
      <w:r w:rsidRPr="00636E9A">
        <w:rPr>
          <w:rFonts w:eastAsia="Times New Roman"/>
          <w:lang w:eastAsia="pt-BR"/>
        </w:rPr>
        <w:t xml:space="preserve"> </w:t>
      </w:r>
      <w:r>
        <w:rPr>
          <w:rFonts w:eastAsia="Times New Roman"/>
          <w:lang w:eastAsia="pt-BR"/>
        </w:rPr>
        <w:t>ANALISTA DE FINANCAS E CONTROLE</w:t>
      </w:r>
    </w:p>
    <w:p w:rsidR="00636E9A" w:rsidRPr="00636E9A" w:rsidRDefault="00C63706" w:rsidP="00636E9A">
      <w:pPr>
        <w:spacing w:after="0" w:line="240" w:lineRule="auto"/>
        <w:rPr>
          <w:rFonts w:eastAsia="Times New Roman"/>
          <w:b/>
          <w:bCs/>
          <w:lang w:eastAsia="pt-BR"/>
        </w:rPr>
      </w:pPr>
    </w:p>
    <w:p w:rsidR="00636E9A" w:rsidRPr="00636E9A" w:rsidRDefault="00C63706" w:rsidP="00636E9A">
      <w:pPr>
        <w:spacing w:after="0" w:line="240" w:lineRule="auto"/>
        <w:rPr>
          <w:rFonts w:eastAsia="Times New Roman"/>
          <w:lang w:eastAsia="pt-BR"/>
        </w:rPr>
      </w:pPr>
      <w:r w:rsidRPr="00636E9A">
        <w:rPr>
          <w:rFonts w:eastAsia="Times New Roman"/>
          <w:b/>
          <w:bCs/>
          <w:lang w:eastAsia="pt-BR"/>
        </w:rPr>
        <w:t>Assinatura:</w:t>
      </w:r>
      <w:r w:rsidRPr="00636E9A">
        <w:rPr>
          <w:rFonts w:eastAsia="Times New Roman"/>
          <w:lang w:eastAsia="pt-BR"/>
        </w:rPr>
        <w:t xml:space="preserve"> </w:t>
      </w:r>
    </w:p>
    <w:p w:rsidR="003E24DF" w:rsidRPr="00636E9A" w:rsidRDefault="00C63706">
      <w:pPr>
        <w:rPr>
          <w:u w:val="single"/>
        </w:rPr>
      </w:pPr>
    </w:p>
    <w:p w:rsidR="000D3D5F" w:rsidRPr="00B66950" w:rsidRDefault="000D3D5F" w:rsidP="00AE511C"/>
    <w:sectPr w:rsidR="000D3D5F" w:rsidRPr="00B66950" w:rsidSect="00053E1E">
      <w:footerReference w:type="default" r:id="rId10"/>
      <w:pgSz w:w="11906" w:h="16838"/>
      <w:pgMar w:top="42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72" w:rsidRDefault="00E43172" w:rsidP="00187197">
      <w:pPr>
        <w:spacing w:after="0" w:line="240" w:lineRule="auto"/>
      </w:pPr>
      <w:r>
        <w:separator/>
      </w:r>
    </w:p>
  </w:endnote>
  <w:endnote w:type="continuationSeparator" w:id="0">
    <w:p w:rsidR="00E43172" w:rsidRDefault="00E43172" w:rsidP="0018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97" w:rsidRDefault="00187197" w:rsidP="00187197"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2608928</wp:posOffset>
          </wp:positionH>
          <wp:positionV relativeFrom="paragraph">
            <wp:posOffset>267072</wp:posOffset>
          </wp:positionV>
          <wp:extent cx="800100" cy="368300"/>
          <wp:effectExtent l="0" t="0" r="0" b="0"/>
          <wp:wrapNone/>
          <wp:docPr id="6" name="Imagem 6" descr="logo portal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ortal_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32DD4" w:rsidRDefault="00C63706" w:rsidP="00A32DD4">
    <w:pPr>
      <w:pStyle w:val="Rodap"/>
      <w:jc w:val="center"/>
      <w:rPr>
        <w:b/>
        <w:i/>
        <w:color w:val="BFBFBF" w:themeColor="background1" w:themeShade="BF"/>
        <w:sz w:val="18"/>
        <w:szCs w:val="18"/>
      </w:rPr>
    </w:pPr>
    <w:r>
      <w:rPr>
        <w:noProof/>
        <w:lang w:eastAsia="pt-BR"/>
      </w:rPr>
      <w:pict>
        <v:line id="Conector reto 18" o:spid="_x0000_s4100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45pt,9.05pt" to="449.65pt,9.05pt"/>
      </w:pict>
    </w:r>
    <w:r>
      <w:rPr>
        <w:noProof/>
        <w:lang w:eastAsia="pt-BR"/>
      </w:rPr>
      <w:pict>
        <v:line id="Conector reto 17" o:spid="_x0000_s409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9pt" to="201.45pt,9pt"/>
      </w:pict>
    </w:r>
  </w:p>
  <w:p w:rsidR="00A32DD4" w:rsidRDefault="00A32DD4" w:rsidP="00A32DD4">
    <w:pPr>
      <w:pStyle w:val="Rodap"/>
      <w:rPr>
        <w:rStyle w:val="Hyperlink"/>
      </w:rPr>
    </w:pPr>
    <w:r>
      <w:rPr>
        <w:rFonts w:asciiTheme="minorHAnsi" w:hAnsiTheme="minorHAnsi" w:cstheme="minorBidi"/>
        <w:noProof/>
        <w:sz w:val="22"/>
        <w:szCs w:val="22"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2581275</wp:posOffset>
          </wp:positionH>
          <wp:positionV relativeFrom="paragraph">
            <wp:posOffset>-180340</wp:posOffset>
          </wp:positionV>
          <wp:extent cx="800100" cy="368300"/>
          <wp:effectExtent l="0" t="0" r="0" b="0"/>
          <wp:wrapNone/>
          <wp:docPr id="16" name="Imagem 16" descr="logo portal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logo portal_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63706">
      <w:rPr>
        <w:rFonts w:asciiTheme="minorHAnsi" w:hAnsiTheme="minorHAnsi" w:cstheme="minorBidi"/>
        <w:noProof/>
        <w:sz w:val="22"/>
        <w:szCs w:val="22"/>
        <w:lang w:eastAsia="pt-BR"/>
      </w:rPr>
      <w:pict>
        <v:line id="Conector reto 12" o:spid="_x0000_s4098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75pt,781.35pt" to="272.35pt,781.35pt"/>
      </w:pict>
    </w:r>
    <w:r w:rsidR="00C63706">
      <w:rPr>
        <w:rFonts w:asciiTheme="minorHAnsi" w:hAnsiTheme="minorHAnsi" w:cstheme="minorBidi"/>
        <w:noProof/>
        <w:sz w:val="22"/>
        <w:szCs w:val="22"/>
        <w:lang w:eastAsia="pt-BR"/>
      </w:rPr>
      <w:pict>
        <v:line id="Conector reto 11" o:spid="_x0000_s4097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75pt,781.35pt" to="272.35pt,781.35pt"/>
      </w:pict>
    </w:r>
    <w:r>
      <w:rPr>
        <w:b/>
        <w:i/>
        <w:color w:val="BFBFBF" w:themeColor="background1" w:themeShade="BF"/>
        <w:sz w:val="18"/>
        <w:szCs w:val="18"/>
      </w:rPr>
      <w:t xml:space="preserve">    </w:t>
    </w:r>
    <w:r>
      <w:rPr>
        <w:b/>
        <w:i/>
        <w:sz w:val="18"/>
        <w:szCs w:val="18"/>
      </w:rPr>
      <w:t xml:space="preserve">Dinheiro público é da sua conta           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  <w:t xml:space="preserve">                                            </w:t>
    </w:r>
    <w:hyperlink r:id="rId2" w:history="1">
      <w:r>
        <w:rPr>
          <w:rStyle w:val="Hyperlink"/>
          <w:i/>
          <w:sz w:val="18"/>
          <w:szCs w:val="18"/>
        </w:rPr>
        <w:t>www.portaldatransparencia.gov.br</w:t>
      </w:r>
    </w:hyperlink>
  </w:p>
  <w:sdt>
    <w:sdtPr>
      <w:id w:val="39979647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87197" w:rsidRPr="00187197" w:rsidRDefault="00187197" w:rsidP="00187197">
        <w:pPr>
          <w:pStyle w:val="Rodap"/>
          <w:tabs>
            <w:tab w:val="clear" w:pos="8504"/>
            <w:tab w:val="right" w:pos="9639"/>
          </w:tabs>
          <w:ind w:right="-1135"/>
          <w:jc w:val="right"/>
          <w:rPr>
            <w:sz w:val="20"/>
            <w:szCs w:val="20"/>
          </w:rPr>
        </w:pPr>
        <w:r w:rsidRPr="00187197">
          <w:rPr>
            <w:sz w:val="20"/>
            <w:szCs w:val="20"/>
          </w:rPr>
          <w:fldChar w:fldCharType="begin"/>
        </w:r>
        <w:r w:rsidRPr="00187197">
          <w:rPr>
            <w:sz w:val="20"/>
            <w:szCs w:val="20"/>
          </w:rPr>
          <w:instrText>PAGE   \* MERGEFORMAT</w:instrText>
        </w:r>
        <w:r w:rsidRPr="00187197">
          <w:rPr>
            <w:sz w:val="20"/>
            <w:szCs w:val="20"/>
          </w:rPr>
          <w:fldChar w:fldCharType="separate"/>
        </w:r>
        <w:r w:rsidR="00C63706">
          <w:rPr>
            <w:noProof/>
            <w:sz w:val="20"/>
            <w:szCs w:val="20"/>
          </w:rPr>
          <w:t>1</w:t>
        </w:r>
        <w:r w:rsidRPr="00187197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72" w:rsidRDefault="00E43172" w:rsidP="00187197">
      <w:pPr>
        <w:spacing w:after="0" w:line="240" w:lineRule="auto"/>
      </w:pPr>
      <w:r>
        <w:separator/>
      </w:r>
    </w:p>
  </w:footnote>
  <w:footnote w:type="continuationSeparator" w:id="0">
    <w:p w:rsidR="00E43172" w:rsidRDefault="00E43172" w:rsidP="00187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69F4"/>
    <w:multiLevelType w:val="hybridMultilevel"/>
    <w:tmpl w:val="0E260926"/>
    <w:lvl w:ilvl="0" w:tplc="18586A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57050"/>
    <w:multiLevelType w:val="hybridMultilevel"/>
    <w:tmpl w:val="D0B68ED4"/>
    <w:lvl w:ilvl="0" w:tplc="074C72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5D77CD"/>
    <w:multiLevelType w:val="hybridMultilevel"/>
    <w:tmpl w:val="8752E854"/>
    <w:lvl w:ilvl="0" w:tplc="679671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1C"/>
    <w:rsid w:val="00004E00"/>
    <w:rsid w:val="000140E8"/>
    <w:rsid w:val="000278D7"/>
    <w:rsid w:val="000B0446"/>
    <w:rsid w:val="000D3D5F"/>
    <w:rsid w:val="00104344"/>
    <w:rsid w:val="00187197"/>
    <w:rsid w:val="0026759B"/>
    <w:rsid w:val="002A7B4D"/>
    <w:rsid w:val="002D480E"/>
    <w:rsid w:val="002E4EEB"/>
    <w:rsid w:val="00384064"/>
    <w:rsid w:val="00427827"/>
    <w:rsid w:val="0043136D"/>
    <w:rsid w:val="00443368"/>
    <w:rsid w:val="004D4588"/>
    <w:rsid w:val="0059376C"/>
    <w:rsid w:val="00632315"/>
    <w:rsid w:val="00821774"/>
    <w:rsid w:val="008A5BAA"/>
    <w:rsid w:val="008B5149"/>
    <w:rsid w:val="009D286F"/>
    <w:rsid w:val="00A32DD4"/>
    <w:rsid w:val="00AE511C"/>
    <w:rsid w:val="00B66950"/>
    <w:rsid w:val="00B91EE0"/>
    <w:rsid w:val="00C63706"/>
    <w:rsid w:val="00C72704"/>
    <w:rsid w:val="00CC626B"/>
    <w:rsid w:val="00D5194C"/>
    <w:rsid w:val="00D83A67"/>
    <w:rsid w:val="00E4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1C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7222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1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87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197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87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19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8719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8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1722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72223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17222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46093E"/>
    <w:pPr>
      <w:spacing w:line="240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1C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7222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1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87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197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87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19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8719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8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1722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72223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17222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46093E"/>
    <w:pPr>
      <w:spacing w:line="240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aldatransparencia.gov.b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050A11F-5EB0-4FB4-B46C-E3ABA3DB3F5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1609</Words>
  <Characters>8689</Characters>
  <Application>Microsoft Office Word</Application>
  <DocSecurity>4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Controladoria-Geral da União</Company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Heleno Vieira Borges</dc:creator>
  <cp:lastModifiedBy>Sergio Anisio Bezerra Silva</cp:lastModifiedBy>
  <cp:revision>2</cp:revision>
  <dcterms:created xsi:type="dcterms:W3CDTF">2015-11-26T11:57:00Z</dcterms:created>
  <dcterms:modified xsi:type="dcterms:W3CDTF">2015-11-26T11:57:00Z</dcterms:modified>
</cp:coreProperties>
</file>