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0F" w:rsidRDefault="00A90D35" w:rsidP="0007417B">
      <w:pPr>
        <w:jc w:val="center"/>
        <w:rPr>
          <w:rFonts w:ascii="Times New Roman" w:hAnsi="Times New Roman" w:cs="Times New Roman"/>
          <w:b/>
          <w:sz w:val="24"/>
          <w:szCs w:val="24"/>
        </w:rPr>
      </w:pPr>
      <w:r>
        <w:rPr>
          <w:rFonts w:ascii="Times New Roman" w:hAnsi="Times New Roman" w:cs="Times New Roman"/>
          <w:b/>
          <w:sz w:val="24"/>
          <w:szCs w:val="24"/>
        </w:rPr>
        <w:tab/>
      </w:r>
    </w:p>
    <w:p w:rsidR="0007417B" w:rsidRDefault="0007417B" w:rsidP="0007417B">
      <w:pPr>
        <w:jc w:val="center"/>
        <w:rPr>
          <w:rFonts w:ascii="Times New Roman" w:hAnsi="Times New Roman" w:cs="Times New Roman"/>
          <w:b/>
          <w:sz w:val="24"/>
          <w:szCs w:val="24"/>
        </w:rPr>
      </w:pPr>
      <w:r w:rsidRPr="00E06EF1">
        <w:rPr>
          <w:rFonts w:ascii="Times New Roman" w:hAnsi="Times New Roman" w:cs="Times New Roman"/>
          <w:b/>
          <w:sz w:val="24"/>
          <w:szCs w:val="24"/>
        </w:rPr>
        <w:t>NOTA DE AUDITORIA INTERNA</w:t>
      </w:r>
      <w:r w:rsidR="00CD1AF0">
        <w:rPr>
          <w:rFonts w:ascii="Times New Roman" w:hAnsi="Times New Roman" w:cs="Times New Roman"/>
          <w:b/>
          <w:sz w:val="24"/>
          <w:szCs w:val="24"/>
        </w:rPr>
        <w:t xml:space="preserve"> Nº 0</w:t>
      </w:r>
      <w:r w:rsidR="000639C4">
        <w:rPr>
          <w:rFonts w:ascii="Times New Roman" w:hAnsi="Times New Roman" w:cs="Times New Roman"/>
          <w:b/>
          <w:sz w:val="24"/>
          <w:szCs w:val="24"/>
        </w:rPr>
        <w:t>2</w:t>
      </w:r>
      <w:r w:rsidR="00CD1AF0">
        <w:rPr>
          <w:rFonts w:ascii="Times New Roman" w:hAnsi="Times New Roman" w:cs="Times New Roman"/>
          <w:b/>
          <w:sz w:val="24"/>
          <w:szCs w:val="24"/>
        </w:rPr>
        <w:t>/2016</w:t>
      </w:r>
    </w:p>
    <w:p w:rsidR="00862127" w:rsidRPr="00E06EF1" w:rsidRDefault="00862127" w:rsidP="0007417B">
      <w:pPr>
        <w:jc w:val="center"/>
        <w:rPr>
          <w:rFonts w:ascii="Times New Roman" w:hAnsi="Times New Roman" w:cs="Times New Roman"/>
          <w:b/>
          <w:sz w:val="24"/>
          <w:szCs w:val="24"/>
        </w:rPr>
      </w:pPr>
    </w:p>
    <w:p w:rsidR="0007417B" w:rsidRDefault="000639C4" w:rsidP="0007417B">
      <w:pPr>
        <w:jc w:val="both"/>
        <w:rPr>
          <w:rFonts w:ascii="Times New Roman" w:hAnsi="Times New Roman" w:cs="Times New Roman"/>
          <w:sz w:val="24"/>
          <w:szCs w:val="24"/>
        </w:rPr>
      </w:pPr>
      <w:r>
        <w:rPr>
          <w:rFonts w:ascii="Times New Roman" w:hAnsi="Times New Roman" w:cs="Times New Roman"/>
          <w:b/>
          <w:sz w:val="24"/>
          <w:szCs w:val="24"/>
        </w:rPr>
        <w:t>SITUAÇÃO</w:t>
      </w:r>
      <w:r w:rsidR="0007417B" w:rsidRPr="00E06EF1">
        <w:rPr>
          <w:rFonts w:ascii="Times New Roman" w:hAnsi="Times New Roman" w:cs="Times New Roman"/>
          <w:b/>
          <w:sz w:val="24"/>
          <w:szCs w:val="24"/>
        </w:rPr>
        <w:t xml:space="preserve"> EXAMINADA: </w:t>
      </w:r>
      <w:r w:rsidR="00606E4A">
        <w:rPr>
          <w:rFonts w:ascii="Times New Roman" w:hAnsi="Times New Roman" w:cs="Times New Roman"/>
          <w:sz w:val="24"/>
          <w:szCs w:val="24"/>
        </w:rPr>
        <w:t>OTIMIZAÇÃO DOS CONTRATOS DE FORNECIMENTO DE ENERGIA ELÉTRICA.</w:t>
      </w:r>
    </w:p>
    <w:p w:rsidR="0007417B" w:rsidRDefault="0007417B" w:rsidP="00EF7E63">
      <w:pPr>
        <w:pStyle w:val="PargrafodaLista"/>
        <w:numPr>
          <w:ilvl w:val="0"/>
          <w:numId w:val="6"/>
        </w:numPr>
        <w:jc w:val="both"/>
        <w:rPr>
          <w:rFonts w:ascii="Times New Roman" w:hAnsi="Times New Roman" w:cs="Times New Roman"/>
          <w:b/>
          <w:sz w:val="24"/>
          <w:szCs w:val="24"/>
        </w:rPr>
      </w:pPr>
      <w:r w:rsidRPr="00EF7E63">
        <w:rPr>
          <w:rFonts w:ascii="Times New Roman" w:hAnsi="Times New Roman" w:cs="Times New Roman"/>
          <w:b/>
          <w:sz w:val="24"/>
          <w:szCs w:val="24"/>
        </w:rPr>
        <w:t>DESCRIÇÃO SUMÁRIA</w:t>
      </w:r>
    </w:p>
    <w:p w:rsidR="00606E4A" w:rsidRPr="00606E4A" w:rsidRDefault="006D4125" w:rsidP="00606E4A">
      <w:pPr>
        <w:jc w:val="both"/>
        <w:rPr>
          <w:rFonts w:ascii="Times New Roman" w:hAnsi="Times New Roman" w:cs="Times New Roman"/>
          <w:sz w:val="24"/>
          <w:szCs w:val="24"/>
        </w:rPr>
      </w:pPr>
      <w:r>
        <w:rPr>
          <w:rFonts w:ascii="Times New Roman" w:hAnsi="Times New Roman" w:cs="Times New Roman"/>
          <w:sz w:val="24"/>
          <w:szCs w:val="24"/>
        </w:rPr>
        <w:t>Oportunidade de melhorias nas condições contratuais de fornecimento de energia elétrica, com nível de média/alta tensão (13</w:t>
      </w:r>
      <w:r w:rsidR="004E2DBC">
        <w:rPr>
          <w:rFonts w:ascii="Times New Roman" w:hAnsi="Times New Roman" w:cs="Times New Roman"/>
          <w:sz w:val="24"/>
          <w:szCs w:val="24"/>
        </w:rPr>
        <w:t>.</w:t>
      </w:r>
      <w:r>
        <w:rPr>
          <w:rFonts w:ascii="Times New Roman" w:hAnsi="Times New Roman" w:cs="Times New Roman"/>
          <w:sz w:val="24"/>
          <w:szCs w:val="24"/>
        </w:rPr>
        <w:t>800V), para a</w:t>
      </w:r>
      <w:r w:rsidR="00DD1C4E">
        <w:rPr>
          <w:rFonts w:ascii="Times New Roman" w:hAnsi="Times New Roman" w:cs="Times New Roman"/>
          <w:sz w:val="24"/>
          <w:szCs w:val="24"/>
        </w:rPr>
        <w:t xml:space="preserve"> Universidade Federal Rural de Pernambuco (UFRPE)</w:t>
      </w:r>
      <w:r w:rsidR="00606E4A" w:rsidRPr="00606E4A">
        <w:rPr>
          <w:rFonts w:ascii="Times New Roman" w:hAnsi="Times New Roman" w:cs="Times New Roman"/>
          <w:sz w:val="24"/>
          <w:szCs w:val="24"/>
        </w:rPr>
        <w:t>.</w:t>
      </w:r>
    </w:p>
    <w:p w:rsidR="0007417B" w:rsidRDefault="0007417B" w:rsidP="0007417B">
      <w:pPr>
        <w:jc w:val="both"/>
        <w:rPr>
          <w:rFonts w:ascii="Times New Roman" w:hAnsi="Times New Roman" w:cs="Times New Roman"/>
          <w:b/>
          <w:sz w:val="24"/>
          <w:szCs w:val="24"/>
        </w:rPr>
      </w:pPr>
      <w:r w:rsidRPr="00E06EF1">
        <w:rPr>
          <w:rFonts w:ascii="Times New Roman" w:hAnsi="Times New Roman" w:cs="Times New Roman"/>
          <w:b/>
          <w:sz w:val="24"/>
          <w:szCs w:val="24"/>
        </w:rPr>
        <w:t>FATO</w:t>
      </w:r>
    </w:p>
    <w:p w:rsidR="006D4125" w:rsidRDefault="00A36619" w:rsidP="0007417B">
      <w:pPr>
        <w:jc w:val="both"/>
        <w:rPr>
          <w:rFonts w:ascii="Times New Roman" w:hAnsi="Times New Roman" w:cs="Times New Roman"/>
          <w:sz w:val="24"/>
          <w:szCs w:val="24"/>
        </w:rPr>
      </w:pPr>
      <w:r w:rsidRPr="00A36619">
        <w:rPr>
          <w:rFonts w:ascii="Times New Roman" w:hAnsi="Times New Roman" w:cs="Times New Roman"/>
          <w:sz w:val="24"/>
          <w:szCs w:val="24"/>
        </w:rPr>
        <w:t xml:space="preserve">No decorrer </w:t>
      </w:r>
      <w:r>
        <w:rPr>
          <w:rFonts w:ascii="Times New Roman" w:hAnsi="Times New Roman" w:cs="Times New Roman"/>
          <w:sz w:val="24"/>
          <w:szCs w:val="24"/>
        </w:rPr>
        <w:t>dos trabalhos de auditoria</w:t>
      </w:r>
      <w:r w:rsidR="00673D91">
        <w:rPr>
          <w:rFonts w:ascii="Times New Roman" w:hAnsi="Times New Roman" w:cs="Times New Roman"/>
          <w:sz w:val="24"/>
          <w:szCs w:val="24"/>
        </w:rPr>
        <w:t>, que trata</w:t>
      </w:r>
      <w:r>
        <w:rPr>
          <w:rFonts w:ascii="Times New Roman" w:hAnsi="Times New Roman" w:cs="Times New Roman"/>
          <w:sz w:val="24"/>
          <w:szCs w:val="24"/>
        </w:rPr>
        <w:t xml:space="preserve"> da análise da sustentabilidade e eficiência no uso racional de recursos naturais pela UFRPE,</w:t>
      </w:r>
      <w:r w:rsidR="00673D91">
        <w:rPr>
          <w:rFonts w:ascii="Times New Roman" w:hAnsi="Times New Roman" w:cs="Times New Roman"/>
          <w:sz w:val="24"/>
          <w:szCs w:val="24"/>
        </w:rPr>
        <w:t xml:space="preserve"> foram identificadas oportunidades de melhorias no uso </w:t>
      </w:r>
      <w:r w:rsidR="00037209">
        <w:rPr>
          <w:rFonts w:ascii="Times New Roman" w:hAnsi="Times New Roman" w:cs="Times New Roman"/>
          <w:sz w:val="24"/>
          <w:szCs w:val="24"/>
        </w:rPr>
        <w:t xml:space="preserve">mais </w:t>
      </w:r>
      <w:r w:rsidR="00673D91">
        <w:rPr>
          <w:rFonts w:ascii="Times New Roman" w:hAnsi="Times New Roman" w:cs="Times New Roman"/>
          <w:sz w:val="24"/>
          <w:szCs w:val="24"/>
        </w:rPr>
        <w:t>eficiente do gasto público.</w:t>
      </w:r>
    </w:p>
    <w:p w:rsidR="00673D91" w:rsidRDefault="00AE7B08" w:rsidP="0007417B">
      <w:pPr>
        <w:jc w:val="both"/>
        <w:rPr>
          <w:rFonts w:ascii="Times New Roman" w:hAnsi="Times New Roman" w:cs="Times New Roman"/>
          <w:sz w:val="24"/>
          <w:szCs w:val="24"/>
        </w:rPr>
      </w:pPr>
      <w:r>
        <w:rPr>
          <w:rFonts w:ascii="Times New Roman" w:hAnsi="Times New Roman" w:cs="Times New Roman"/>
          <w:sz w:val="24"/>
          <w:szCs w:val="24"/>
        </w:rPr>
        <w:t>Dessa forma, considerando as orientações gerais para a conservação de energia em prédios públicos, em linha com o entendimento de que a otimização dos contratos de fornecimento de energia pode gerar redução significativa em despesas dessa natureza, liberando, inclusive, recursos para investimentos em outras áreas prioritárias.</w:t>
      </w:r>
    </w:p>
    <w:p w:rsidR="00AE7B08" w:rsidRDefault="00AE7B08" w:rsidP="0007417B">
      <w:pPr>
        <w:jc w:val="both"/>
        <w:rPr>
          <w:rFonts w:ascii="Times New Roman" w:hAnsi="Times New Roman" w:cs="Times New Roman"/>
          <w:sz w:val="24"/>
          <w:szCs w:val="24"/>
        </w:rPr>
      </w:pPr>
      <w:r>
        <w:rPr>
          <w:rFonts w:ascii="Times New Roman" w:hAnsi="Times New Roman" w:cs="Times New Roman"/>
          <w:sz w:val="24"/>
          <w:szCs w:val="24"/>
        </w:rPr>
        <w:t xml:space="preserve">Considerando também o prévio exame das faturas de contas de energia da UFRPE, do primeiro semestre de 2016, por parte </w:t>
      </w:r>
      <w:r w:rsidR="00B05C29">
        <w:rPr>
          <w:rFonts w:ascii="Times New Roman" w:hAnsi="Times New Roman" w:cs="Times New Roman"/>
          <w:sz w:val="24"/>
          <w:szCs w:val="24"/>
        </w:rPr>
        <w:t>da</w:t>
      </w:r>
      <w:r>
        <w:rPr>
          <w:rFonts w:ascii="Times New Roman" w:hAnsi="Times New Roman" w:cs="Times New Roman"/>
          <w:sz w:val="24"/>
          <w:szCs w:val="24"/>
        </w:rPr>
        <w:t xml:space="preserve"> equipe de Auditoria Interna (AUDIN), e ta</w:t>
      </w:r>
      <w:r w:rsidR="00B05C29">
        <w:rPr>
          <w:rFonts w:ascii="Times New Roman" w:hAnsi="Times New Roman" w:cs="Times New Roman"/>
          <w:sz w:val="24"/>
          <w:szCs w:val="24"/>
        </w:rPr>
        <w:t xml:space="preserve">mbém </w:t>
      </w:r>
      <w:r w:rsidR="00037209">
        <w:rPr>
          <w:rFonts w:ascii="Times New Roman" w:hAnsi="Times New Roman" w:cs="Times New Roman"/>
          <w:sz w:val="24"/>
          <w:szCs w:val="24"/>
        </w:rPr>
        <w:t>o fato de ser fundamental a escolha correta do modelo tarifário mais adequado e das demandas contratadas.</w:t>
      </w:r>
    </w:p>
    <w:p w:rsidR="00A36619" w:rsidRDefault="00037209" w:rsidP="0007417B">
      <w:pPr>
        <w:jc w:val="both"/>
        <w:rPr>
          <w:rFonts w:ascii="Times New Roman" w:hAnsi="Times New Roman" w:cs="Times New Roman"/>
          <w:sz w:val="24"/>
          <w:szCs w:val="24"/>
        </w:rPr>
      </w:pPr>
      <w:r>
        <w:rPr>
          <w:rFonts w:ascii="Times New Roman" w:hAnsi="Times New Roman" w:cs="Times New Roman"/>
          <w:sz w:val="24"/>
          <w:szCs w:val="24"/>
        </w:rPr>
        <w:t>Assim, com o objetivo de subsidiar os trabalhos de auditoria que estão se</w:t>
      </w:r>
      <w:r w:rsidR="00C23ACA">
        <w:rPr>
          <w:rFonts w:ascii="Times New Roman" w:hAnsi="Times New Roman" w:cs="Times New Roman"/>
          <w:sz w:val="24"/>
          <w:szCs w:val="24"/>
        </w:rPr>
        <w:t>ndo realizados, foram solicitado</w:t>
      </w:r>
      <w:r>
        <w:rPr>
          <w:rFonts w:ascii="Times New Roman" w:hAnsi="Times New Roman" w:cs="Times New Roman"/>
          <w:sz w:val="24"/>
          <w:szCs w:val="24"/>
        </w:rPr>
        <w:t xml:space="preserve">s à </w:t>
      </w:r>
      <w:r w:rsidR="009D4F46">
        <w:rPr>
          <w:rFonts w:ascii="Times New Roman" w:hAnsi="Times New Roman" w:cs="Times New Roman"/>
          <w:sz w:val="24"/>
          <w:szCs w:val="24"/>
        </w:rPr>
        <w:t>Companhia Energética de Pernambuco (</w:t>
      </w:r>
      <w:r>
        <w:rPr>
          <w:rFonts w:ascii="Times New Roman" w:hAnsi="Times New Roman" w:cs="Times New Roman"/>
          <w:sz w:val="24"/>
          <w:szCs w:val="24"/>
        </w:rPr>
        <w:t>CELPE</w:t>
      </w:r>
      <w:r w:rsidR="009D4F46">
        <w:rPr>
          <w:rFonts w:ascii="Times New Roman" w:hAnsi="Times New Roman" w:cs="Times New Roman"/>
          <w:sz w:val="24"/>
          <w:szCs w:val="24"/>
        </w:rPr>
        <w:t>)</w:t>
      </w:r>
      <w:r>
        <w:rPr>
          <w:rFonts w:ascii="Times New Roman" w:hAnsi="Times New Roman" w:cs="Times New Roman"/>
          <w:sz w:val="24"/>
          <w:szCs w:val="24"/>
        </w:rPr>
        <w:t xml:space="preserve"> dados históricos de medição e faturamento registrados nos últimos 12 meses, de modo a auxiliar</w:t>
      </w:r>
      <w:r w:rsidR="0058633E">
        <w:rPr>
          <w:rFonts w:ascii="Times New Roman" w:hAnsi="Times New Roman" w:cs="Times New Roman"/>
          <w:sz w:val="24"/>
          <w:szCs w:val="24"/>
        </w:rPr>
        <w:t xml:space="preserve"> nas análises e decisões de possíveis ajustes dos contratos de fornecimento de en</w:t>
      </w:r>
      <w:r w:rsidR="00C23ACA">
        <w:rPr>
          <w:rFonts w:ascii="Times New Roman" w:hAnsi="Times New Roman" w:cs="Times New Roman"/>
          <w:sz w:val="24"/>
          <w:szCs w:val="24"/>
        </w:rPr>
        <w:t>ergia desta Instituição Federal de Ensino Superior (IFES).</w:t>
      </w:r>
    </w:p>
    <w:p w:rsidR="00C52654" w:rsidRDefault="00C52654" w:rsidP="0007417B">
      <w:pPr>
        <w:jc w:val="both"/>
        <w:rPr>
          <w:rFonts w:ascii="Times New Roman" w:hAnsi="Times New Roman" w:cs="Times New Roman"/>
          <w:sz w:val="24"/>
          <w:szCs w:val="24"/>
        </w:rPr>
      </w:pPr>
      <w:r>
        <w:rPr>
          <w:rFonts w:ascii="Times New Roman" w:hAnsi="Times New Roman" w:cs="Times New Roman"/>
          <w:sz w:val="24"/>
          <w:szCs w:val="24"/>
        </w:rPr>
        <w:t xml:space="preserve">Vale lembrar que, por meio da execução de ações administrativas de gestão contratual junto às concessionárias, é possível reduzir gastos com energia elétrica. Nesse sentido, foi publicado o Decreto nº 8.540, de </w:t>
      </w:r>
      <w:r w:rsidR="00C23ACA">
        <w:rPr>
          <w:rFonts w:ascii="Times New Roman" w:hAnsi="Times New Roman" w:cs="Times New Roman"/>
          <w:sz w:val="24"/>
          <w:szCs w:val="24"/>
        </w:rPr>
        <w:t xml:space="preserve">9 de </w:t>
      </w:r>
      <w:r>
        <w:rPr>
          <w:rFonts w:ascii="Times New Roman" w:hAnsi="Times New Roman" w:cs="Times New Roman"/>
          <w:sz w:val="24"/>
          <w:szCs w:val="24"/>
        </w:rPr>
        <w:t xml:space="preserve">outubro de 2015, o qual determina medidas de racionalização do gasto público no âmbito da Administração Pública Federal direta, autárquica e </w:t>
      </w:r>
      <w:proofErr w:type="spellStart"/>
      <w:r>
        <w:rPr>
          <w:rFonts w:ascii="Times New Roman" w:hAnsi="Times New Roman" w:cs="Times New Roman"/>
          <w:sz w:val="24"/>
          <w:szCs w:val="24"/>
        </w:rPr>
        <w:t>fundacional</w:t>
      </w:r>
      <w:proofErr w:type="spellEnd"/>
      <w:r>
        <w:rPr>
          <w:rFonts w:ascii="Times New Roman" w:hAnsi="Times New Roman" w:cs="Times New Roman"/>
          <w:sz w:val="24"/>
          <w:szCs w:val="24"/>
        </w:rPr>
        <w:t xml:space="preserve">. Em seu artigo 4º, o Decreto estabelece que os contratos e as contas de energia elétrica deverão ser </w:t>
      </w:r>
      <w:r w:rsidR="00C23ACA">
        <w:rPr>
          <w:rFonts w:ascii="Times New Roman" w:hAnsi="Times New Roman" w:cs="Times New Roman"/>
          <w:sz w:val="24"/>
          <w:szCs w:val="24"/>
        </w:rPr>
        <w:t>analisados</w:t>
      </w:r>
      <w:r>
        <w:rPr>
          <w:rFonts w:ascii="Times New Roman" w:hAnsi="Times New Roman" w:cs="Times New Roman"/>
          <w:sz w:val="24"/>
          <w:szCs w:val="24"/>
        </w:rPr>
        <w:t xml:space="preserve"> para adequar a contratação da demanda às necessidades do órgão.</w:t>
      </w:r>
    </w:p>
    <w:p w:rsidR="001C6202" w:rsidRDefault="001C6202" w:rsidP="0007417B">
      <w:pPr>
        <w:jc w:val="both"/>
        <w:rPr>
          <w:rFonts w:ascii="Times New Roman" w:hAnsi="Times New Roman" w:cs="Times New Roman"/>
          <w:sz w:val="24"/>
          <w:szCs w:val="24"/>
        </w:rPr>
      </w:pPr>
    </w:p>
    <w:p w:rsidR="00ED2394" w:rsidRDefault="00ED2394" w:rsidP="0007417B">
      <w:pPr>
        <w:jc w:val="both"/>
        <w:rPr>
          <w:rFonts w:ascii="Times New Roman" w:hAnsi="Times New Roman" w:cs="Times New Roman"/>
          <w:sz w:val="24"/>
          <w:szCs w:val="24"/>
        </w:rPr>
      </w:pPr>
      <w:r>
        <w:rPr>
          <w:rFonts w:ascii="Times New Roman" w:hAnsi="Times New Roman" w:cs="Times New Roman"/>
          <w:sz w:val="24"/>
          <w:szCs w:val="24"/>
        </w:rPr>
        <w:t xml:space="preserve">Ressalta-se que a análise tarifária </w:t>
      </w:r>
      <w:r w:rsidR="00646351">
        <w:rPr>
          <w:rFonts w:ascii="Times New Roman" w:hAnsi="Times New Roman" w:cs="Times New Roman"/>
          <w:sz w:val="24"/>
          <w:szCs w:val="24"/>
        </w:rPr>
        <w:t>envolve certa complexidade. Abrange conceitos técnicos de engenharia e a necessidade de compreensão do significado de grandezas elétricas e seus impactos na fatura de energia. Contudo, de posse de orientações conti</w:t>
      </w:r>
      <w:r w:rsidR="0062644F">
        <w:rPr>
          <w:rFonts w:ascii="Times New Roman" w:hAnsi="Times New Roman" w:cs="Times New Roman"/>
          <w:sz w:val="24"/>
          <w:szCs w:val="24"/>
        </w:rPr>
        <w:t xml:space="preserve">das em manuais </w:t>
      </w:r>
      <w:r w:rsidR="00B05C29">
        <w:rPr>
          <w:rFonts w:ascii="Times New Roman" w:hAnsi="Times New Roman" w:cs="Times New Roman"/>
          <w:sz w:val="24"/>
          <w:szCs w:val="24"/>
        </w:rPr>
        <w:t>de tarifação de energia elétrica</w:t>
      </w:r>
      <w:r w:rsidR="0062644F">
        <w:rPr>
          <w:rFonts w:ascii="Times New Roman" w:hAnsi="Times New Roman" w:cs="Times New Roman"/>
          <w:sz w:val="24"/>
          <w:szCs w:val="24"/>
        </w:rPr>
        <w:t xml:space="preserve"> e das</w:t>
      </w:r>
      <w:r w:rsidR="00646351">
        <w:rPr>
          <w:rFonts w:ascii="Times New Roman" w:hAnsi="Times New Roman" w:cs="Times New Roman"/>
          <w:sz w:val="24"/>
          <w:szCs w:val="24"/>
        </w:rPr>
        <w:t xml:space="preserve"> informações disponibilizadas pela equipe da Unidade de R</w:t>
      </w:r>
      <w:r w:rsidR="009D4F46">
        <w:rPr>
          <w:rFonts w:ascii="Times New Roman" w:hAnsi="Times New Roman" w:cs="Times New Roman"/>
          <w:sz w:val="24"/>
          <w:szCs w:val="24"/>
        </w:rPr>
        <w:t xml:space="preserve">elacionamento com Clientes do Poder Público da CELPE, foi possível </w:t>
      </w:r>
      <w:r w:rsidR="001857F8">
        <w:rPr>
          <w:rFonts w:ascii="Times New Roman" w:hAnsi="Times New Roman" w:cs="Times New Roman"/>
          <w:sz w:val="24"/>
          <w:szCs w:val="24"/>
        </w:rPr>
        <w:t>realiza</w:t>
      </w:r>
      <w:r w:rsidR="001C6202">
        <w:rPr>
          <w:rFonts w:ascii="Times New Roman" w:hAnsi="Times New Roman" w:cs="Times New Roman"/>
          <w:sz w:val="24"/>
          <w:szCs w:val="24"/>
        </w:rPr>
        <w:t>r as análises apresentadas nesta Nota de Auditoria</w:t>
      </w:r>
      <w:r w:rsidR="009D4F46">
        <w:rPr>
          <w:rFonts w:ascii="Times New Roman" w:hAnsi="Times New Roman" w:cs="Times New Roman"/>
          <w:sz w:val="24"/>
          <w:szCs w:val="24"/>
        </w:rPr>
        <w:t>.</w:t>
      </w:r>
    </w:p>
    <w:p w:rsidR="00E763B7" w:rsidRDefault="00B05C29" w:rsidP="0007417B">
      <w:pPr>
        <w:jc w:val="both"/>
        <w:rPr>
          <w:rFonts w:ascii="Times New Roman" w:hAnsi="Times New Roman" w:cs="Times New Roman"/>
          <w:sz w:val="24"/>
          <w:szCs w:val="24"/>
        </w:rPr>
      </w:pPr>
      <w:r>
        <w:rPr>
          <w:rFonts w:ascii="Times New Roman" w:hAnsi="Times New Roman" w:cs="Times New Roman"/>
          <w:sz w:val="24"/>
          <w:szCs w:val="24"/>
        </w:rPr>
        <w:t>À</w:t>
      </w:r>
      <w:r w:rsidR="007A6004">
        <w:rPr>
          <w:rFonts w:ascii="Times New Roman" w:hAnsi="Times New Roman" w:cs="Times New Roman"/>
          <w:sz w:val="24"/>
          <w:szCs w:val="24"/>
        </w:rPr>
        <w:t xml:space="preserve"> medida que formos abordando determinados assuntos, alguns conceitos serão útei</w:t>
      </w:r>
      <w:r w:rsidR="0062644F">
        <w:rPr>
          <w:rFonts w:ascii="Times New Roman" w:hAnsi="Times New Roman" w:cs="Times New Roman"/>
          <w:sz w:val="24"/>
          <w:szCs w:val="24"/>
        </w:rPr>
        <w:t>s. Dessa forma, serão transcrito</w:t>
      </w:r>
      <w:r w:rsidR="007A6004">
        <w:rPr>
          <w:rFonts w:ascii="Times New Roman" w:hAnsi="Times New Roman" w:cs="Times New Roman"/>
          <w:sz w:val="24"/>
          <w:szCs w:val="24"/>
        </w:rPr>
        <w:t>s (</w:t>
      </w:r>
      <w:r w:rsidR="007A6004" w:rsidRPr="007A6004">
        <w:rPr>
          <w:rFonts w:ascii="Times New Roman" w:hAnsi="Times New Roman" w:cs="Times New Roman"/>
          <w:i/>
          <w:sz w:val="24"/>
          <w:szCs w:val="24"/>
        </w:rPr>
        <w:t>em itálico</w:t>
      </w:r>
      <w:r w:rsidR="007A6004">
        <w:rPr>
          <w:rFonts w:ascii="Times New Roman" w:hAnsi="Times New Roman" w:cs="Times New Roman"/>
          <w:sz w:val="24"/>
          <w:szCs w:val="24"/>
        </w:rPr>
        <w:t xml:space="preserve">) definições </w:t>
      </w:r>
      <w:r w:rsidR="00E763B7">
        <w:rPr>
          <w:rFonts w:ascii="Times New Roman" w:hAnsi="Times New Roman" w:cs="Times New Roman"/>
          <w:sz w:val="24"/>
          <w:szCs w:val="24"/>
        </w:rPr>
        <w:t xml:space="preserve">e esclarecimentos, </w:t>
      </w:r>
      <w:r w:rsidR="007A6004">
        <w:rPr>
          <w:rFonts w:ascii="Times New Roman" w:hAnsi="Times New Roman" w:cs="Times New Roman"/>
          <w:sz w:val="24"/>
          <w:szCs w:val="24"/>
        </w:rPr>
        <w:t>fornecid</w:t>
      </w:r>
      <w:r w:rsidR="006A31B9">
        <w:rPr>
          <w:rFonts w:ascii="Times New Roman" w:hAnsi="Times New Roman" w:cs="Times New Roman"/>
          <w:sz w:val="24"/>
          <w:szCs w:val="24"/>
        </w:rPr>
        <w:t>o</w:t>
      </w:r>
      <w:r w:rsidR="007A6004">
        <w:rPr>
          <w:rFonts w:ascii="Times New Roman" w:hAnsi="Times New Roman" w:cs="Times New Roman"/>
          <w:sz w:val="24"/>
          <w:szCs w:val="24"/>
        </w:rPr>
        <w:t>s pela própria CELPE</w:t>
      </w:r>
      <w:r w:rsidR="00E763B7">
        <w:rPr>
          <w:rFonts w:ascii="Times New Roman" w:hAnsi="Times New Roman" w:cs="Times New Roman"/>
          <w:sz w:val="24"/>
          <w:szCs w:val="24"/>
        </w:rPr>
        <w:t xml:space="preserve">, bem como </w:t>
      </w:r>
      <w:r w:rsidR="001374A4">
        <w:rPr>
          <w:rFonts w:ascii="Times New Roman" w:hAnsi="Times New Roman" w:cs="Times New Roman"/>
          <w:sz w:val="24"/>
          <w:szCs w:val="24"/>
        </w:rPr>
        <w:t>extraída</w:t>
      </w:r>
      <w:r w:rsidR="006A31B9">
        <w:rPr>
          <w:rFonts w:ascii="Times New Roman" w:hAnsi="Times New Roman" w:cs="Times New Roman"/>
          <w:sz w:val="24"/>
          <w:szCs w:val="24"/>
        </w:rPr>
        <w:t xml:space="preserve">s </w:t>
      </w:r>
      <w:r w:rsidR="001374A4">
        <w:rPr>
          <w:rFonts w:ascii="Times New Roman" w:hAnsi="Times New Roman" w:cs="Times New Roman"/>
          <w:sz w:val="24"/>
          <w:szCs w:val="24"/>
        </w:rPr>
        <w:t xml:space="preserve">informações </w:t>
      </w:r>
      <w:r w:rsidR="00645E77">
        <w:rPr>
          <w:rFonts w:ascii="Times New Roman" w:hAnsi="Times New Roman" w:cs="Times New Roman"/>
          <w:sz w:val="24"/>
          <w:szCs w:val="24"/>
        </w:rPr>
        <w:t xml:space="preserve">da Resolução Normativa nº 414, de </w:t>
      </w:r>
      <w:r w:rsidR="0062644F">
        <w:rPr>
          <w:rFonts w:ascii="Times New Roman" w:hAnsi="Times New Roman" w:cs="Times New Roman"/>
          <w:sz w:val="24"/>
          <w:szCs w:val="24"/>
        </w:rPr>
        <w:t xml:space="preserve">9 de </w:t>
      </w:r>
      <w:r w:rsidR="00645E77">
        <w:rPr>
          <w:rFonts w:ascii="Times New Roman" w:hAnsi="Times New Roman" w:cs="Times New Roman"/>
          <w:sz w:val="24"/>
          <w:szCs w:val="24"/>
        </w:rPr>
        <w:t xml:space="preserve">setembro de 2010, da Agencia Nacional de Energia Elétrica (ANEEL), além </w:t>
      </w:r>
      <w:r w:rsidR="00E763B7">
        <w:rPr>
          <w:rFonts w:ascii="Times New Roman" w:hAnsi="Times New Roman" w:cs="Times New Roman"/>
          <w:sz w:val="24"/>
          <w:szCs w:val="24"/>
        </w:rPr>
        <w:t>de manuais e c</w:t>
      </w:r>
      <w:r w:rsidR="00645E77">
        <w:rPr>
          <w:rFonts w:ascii="Times New Roman" w:hAnsi="Times New Roman" w:cs="Times New Roman"/>
          <w:sz w:val="24"/>
          <w:szCs w:val="24"/>
        </w:rPr>
        <w:t>artilhas de tarifação energética</w:t>
      </w:r>
      <w:r w:rsidR="00E763B7">
        <w:rPr>
          <w:rFonts w:ascii="Times New Roman" w:hAnsi="Times New Roman" w:cs="Times New Roman"/>
          <w:sz w:val="24"/>
          <w:szCs w:val="24"/>
        </w:rPr>
        <w:t xml:space="preserve">. </w:t>
      </w:r>
    </w:p>
    <w:p w:rsidR="00A36619" w:rsidRDefault="002D5171" w:rsidP="0007417B">
      <w:pPr>
        <w:jc w:val="both"/>
        <w:rPr>
          <w:rFonts w:ascii="Times New Roman" w:hAnsi="Times New Roman" w:cs="Times New Roman"/>
          <w:sz w:val="24"/>
          <w:szCs w:val="24"/>
        </w:rPr>
      </w:pPr>
      <w:r>
        <w:rPr>
          <w:rFonts w:ascii="Times New Roman" w:hAnsi="Times New Roman" w:cs="Times New Roman"/>
          <w:sz w:val="24"/>
          <w:szCs w:val="24"/>
        </w:rPr>
        <w:t>Antes de iniciarmos as análises, a</w:t>
      </w:r>
      <w:r w:rsidR="000135E0">
        <w:rPr>
          <w:rFonts w:ascii="Times New Roman" w:hAnsi="Times New Roman" w:cs="Times New Roman"/>
          <w:sz w:val="24"/>
          <w:szCs w:val="24"/>
        </w:rPr>
        <w:t>dianta-se que</w:t>
      </w:r>
      <w:r w:rsidR="00B40321">
        <w:rPr>
          <w:rFonts w:ascii="Times New Roman" w:hAnsi="Times New Roman" w:cs="Times New Roman"/>
          <w:sz w:val="24"/>
          <w:szCs w:val="24"/>
        </w:rPr>
        <w:t>, segundo esclarecimentos da CELPE, das 60 unidades consumidoras cadastradas com o CNPJ da UFRPE</w:t>
      </w:r>
      <w:r>
        <w:rPr>
          <w:rFonts w:ascii="Times New Roman" w:hAnsi="Times New Roman" w:cs="Times New Roman"/>
          <w:sz w:val="24"/>
          <w:szCs w:val="24"/>
        </w:rPr>
        <w:t>,</w:t>
      </w:r>
      <w:r w:rsidR="00B40321">
        <w:rPr>
          <w:rFonts w:ascii="Times New Roman" w:hAnsi="Times New Roman" w:cs="Times New Roman"/>
          <w:sz w:val="24"/>
          <w:szCs w:val="24"/>
        </w:rPr>
        <w:t xml:space="preserve"> 32 têm o fornecimento de energia elétrica </w:t>
      </w:r>
      <w:r>
        <w:rPr>
          <w:rFonts w:ascii="Times New Roman" w:hAnsi="Times New Roman" w:cs="Times New Roman"/>
          <w:sz w:val="24"/>
          <w:szCs w:val="24"/>
        </w:rPr>
        <w:t>em baixa tensão (220/380V)</w:t>
      </w:r>
      <w:r w:rsidR="002C0FCC">
        <w:rPr>
          <w:rFonts w:ascii="Times New Roman" w:hAnsi="Times New Roman" w:cs="Times New Roman"/>
          <w:sz w:val="24"/>
          <w:szCs w:val="24"/>
        </w:rPr>
        <w:t>, pertencentes ao Grupo B</w:t>
      </w:r>
      <w:r>
        <w:rPr>
          <w:rFonts w:ascii="Times New Roman" w:hAnsi="Times New Roman" w:cs="Times New Roman"/>
          <w:sz w:val="24"/>
          <w:szCs w:val="24"/>
        </w:rPr>
        <w:t xml:space="preserve"> e 28 têm o fornecimento de energia elétrica em média/alta tensão (13.800V), </w:t>
      </w:r>
      <w:r w:rsidR="002C0FCC">
        <w:rPr>
          <w:rFonts w:ascii="Times New Roman" w:hAnsi="Times New Roman" w:cs="Times New Roman"/>
          <w:sz w:val="24"/>
          <w:szCs w:val="24"/>
        </w:rPr>
        <w:t xml:space="preserve">pertencentes ao Grupo A, </w:t>
      </w:r>
      <w:r w:rsidR="00CC3051">
        <w:rPr>
          <w:rFonts w:ascii="Times New Roman" w:hAnsi="Times New Roman" w:cs="Times New Roman"/>
          <w:sz w:val="24"/>
          <w:szCs w:val="24"/>
        </w:rPr>
        <w:t xml:space="preserve">havendo necessidade para essas últimas, </w:t>
      </w:r>
      <w:r w:rsidR="002C0FCC">
        <w:rPr>
          <w:rFonts w:ascii="Times New Roman" w:hAnsi="Times New Roman" w:cs="Times New Roman"/>
          <w:sz w:val="24"/>
          <w:szCs w:val="24"/>
        </w:rPr>
        <w:t>de</w:t>
      </w:r>
      <w:r w:rsidR="00CC3051">
        <w:rPr>
          <w:rFonts w:ascii="Times New Roman" w:hAnsi="Times New Roman" w:cs="Times New Roman"/>
          <w:sz w:val="24"/>
          <w:szCs w:val="24"/>
        </w:rPr>
        <w:t xml:space="preserve"> formalização da</w:t>
      </w:r>
      <w:r>
        <w:rPr>
          <w:rFonts w:ascii="Times New Roman" w:hAnsi="Times New Roman" w:cs="Times New Roman"/>
          <w:sz w:val="24"/>
          <w:szCs w:val="24"/>
        </w:rPr>
        <w:t xml:space="preserve"> contratação de energia.</w:t>
      </w:r>
    </w:p>
    <w:p w:rsidR="001C6202" w:rsidRDefault="00AC3FD2" w:rsidP="0007417B">
      <w:pPr>
        <w:jc w:val="both"/>
        <w:rPr>
          <w:rFonts w:ascii="Times New Roman" w:hAnsi="Times New Roman" w:cs="Times New Roman"/>
          <w:sz w:val="24"/>
          <w:szCs w:val="24"/>
        </w:rPr>
      </w:pPr>
      <w:r>
        <w:rPr>
          <w:rFonts w:ascii="Times New Roman" w:hAnsi="Times New Roman" w:cs="Times New Roman"/>
          <w:sz w:val="24"/>
          <w:szCs w:val="24"/>
        </w:rPr>
        <w:t>Mas a</w:t>
      </w:r>
      <w:r w:rsidR="001C6202">
        <w:rPr>
          <w:rFonts w:ascii="Times New Roman" w:hAnsi="Times New Roman" w:cs="Times New Roman"/>
          <w:sz w:val="24"/>
          <w:szCs w:val="24"/>
        </w:rPr>
        <w:t xml:space="preserve">final, como saber se os contratos de fornecimento de energia elétrica da UFRPE estão adequados? Para responder a esse questionamento, </w:t>
      </w:r>
      <w:r w:rsidR="008F25C1">
        <w:rPr>
          <w:rFonts w:ascii="Times New Roman" w:hAnsi="Times New Roman" w:cs="Times New Roman"/>
          <w:sz w:val="24"/>
          <w:szCs w:val="24"/>
        </w:rPr>
        <w:t>quanto</w:t>
      </w:r>
      <w:r w:rsidR="00F83A78">
        <w:rPr>
          <w:rFonts w:ascii="Times New Roman" w:hAnsi="Times New Roman" w:cs="Times New Roman"/>
          <w:sz w:val="24"/>
          <w:szCs w:val="24"/>
        </w:rPr>
        <w:t xml:space="preserve"> a</w:t>
      </w:r>
      <w:r w:rsidR="001C6202">
        <w:rPr>
          <w:rFonts w:ascii="Times New Roman" w:hAnsi="Times New Roman" w:cs="Times New Roman"/>
          <w:sz w:val="24"/>
          <w:szCs w:val="24"/>
        </w:rPr>
        <w:t xml:space="preserve"> um contrato de média/alta tensão (</w:t>
      </w:r>
      <w:r>
        <w:rPr>
          <w:rFonts w:ascii="Times New Roman" w:hAnsi="Times New Roman" w:cs="Times New Roman"/>
          <w:sz w:val="24"/>
          <w:szCs w:val="24"/>
        </w:rPr>
        <w:t>13.800V -</w:t>
      </w:r>
      <w:r w:rsidR="001C6202">
        <w:rPr>
          <w:rFonts w:ascii="Times New Roman" w:hAnsi="Times New Roman" w:cs="Times New Roman"/>
          <w:sz w:val="24"/>
          <w:szCs w:val="24"/>
        </w:rPr>
        <w:t xml:space="preserve"> Grupo A), três requisitos</w:t>
      </w:r>
      <w:r w:rsidR="008F25C1">
        <w:rPr>
          <w:rFonts w:ascii="Times New Roman" w:hAnsi="Times New Roman" w:cs="Times New Roman"/>
          <w:sz w:val="24"/>
          <w:szCs w:val="24"/>
        </w:rPr>
        <w:t xml:space="preserve"> devem ser analisados</w:t>
      </w:r>
      <w:r w:rsidR="001C6202">
        <w:rPr>
          <w:rFonts w:ascii="Times New Roman" w:hAnsi="Times New Roman" w:cs="Times New Roman"/>
          <w:sz w:val="24"/>
          <w:szCs w:val="24"/>
        </w:rPr>
        <w:t xml:space="preserve">: </w:t>
      </w:r>
      <w:r w:rsidR="00F83A78" w:rsidRPr="00B05E29">
        <w:rPr>
          <w:rFonts w:ascii="Times New Roman" w:hAnsi="Times New Roman" w:cs="Times New Roman"/>
          <w:sz w:val="24"/>
          <w:szCs w:val="24"/>
          <w:u w:val="single"/>
        </w:rPr>
        <w:t>demanda contratada adequad</w:t>
      </w:r>
      <w:r w:rsidR="00F83A78" w:rsidRPr="008F25C1">
        <w:rPr>
          <w:rFonts w:ascii="Times New Roman" w:hAnsi="Times New Roman" w:cs="Times New Roman"/>
          <w:sz w:val="24"/>
          <w:szCs w:val="24"/>
          <w:u w:val="single"/>
        </w:rPr>
        <w:t>a</w:t>
      </w:r>
      <w:r w:rsidR="00F83A78">
        <w:rPr>
          <w:rFonts w:ascii="Times New Roman" w:hAnsi="Times New Roman" w:cs="Times New Roman"/>
          <w:sz w:val="24"/>
          <w:szCs w:val="24"/>
        </w:rPr>
        <w:t xml:space="preserve">, </w:t>
      </w:r>
      <w:r w:rsidR="00F83A78" w:rsidRPr="00B05E29">
        <w:rPr>
          <w:rFonts w:ascii="Times New Roman" w:hAnsi="Times New Roman" w:cs="Times New Roman"/>
          <w:sz w:val="24"/>
          <w:szCs w:val="24"/>
          <w:u w:val="single"/>
        </w:rPr>
        <w:t>não existência de cobrança de energia reativa</w:t>
      </w:r>
      <w:r w:rsidR="00F83A78">
        <w:rPr>
          <w:rFonts w:ascii="Times New Roman" w:hAnsi="Times New Roman" w:cs="Times New Roman"/>
          <w:sz w:val="24"/>
          <w:szCs w:val="24"/>
        </w:rPr>
        <w:t xml:space="preserve"> e </w:t>
      </w:r>
      <w:r w:rsidR="00F83A78" w:rsidRPr="00B05E29">
        <w:rPr>
          <w:rFonts w:ascii="Times New Roman" w:hAnsi="Times New Roman" w:cs="Times New Roman"/>
          <w:sz w:val="24"/>
          <w:szCs w:val="24"/>
          <w:u w:val="single"/>
        </w:rPr>
        <w:t>enquadramento tarifário adequado</w:t>
      </w:r>
      <w:r w:rsidR="00F83A78">
        <w:rPr>
          <w:rFonts w:ascii="Times New Roman" w:hAnsi="Times New Roman" w:cs="Times New Roman"/>
          <w:sz w:val="24"/>
          <w:szCs w:val="24"/>
        </w:rPr>
        <w:t>.</w:t>
      </w:r>
    </w:p>
    <w:p w:rsidR="0040552B" w:rsidRDefault="0040552B" w:rsidP="0007417B">
      <w:pPr>
        <w:jc w:val="both"/>
        <w:rPr>
          <w:rFonts w:ascii="Times New Roman" w:hAnsi="Times New Roman" w:cs="Times New Roman"/>
          <w:b/>
          <w:sz w:val="24"/>
          <w:szCs w:val="24"/>
        </w:rPr>
      </w:pPr>
      <w:r w:rsidRPr="0040552B">
        <w:rPr>
          <w:rFonts w:ascii="Times New Roman" w:hAnsi="Times New Roman" w:cs="Times New Roman"/>
          <w:b/>
          <w:sz w:val="24"/>
          <w:szCs w:val="24"/>
        </w:rPr>
        <w:t xml:space="preserve">1º) Análise da </w:t>
      </w:r>
      <w:r w:rsidR="00784212">
        <w:rPr>
          <w:rFonts w:ascii="Times New Roman" w:hAnsi="Times New Roman" w:cs="Times New Roman"/>
          <w:b/>
          <w:sz w:val="24"/>
          <w:szCs w:val="24"/>
        </w:rPr>
        <w:t xml:space="preserve">adequação da </w:t>
      </w:r>
      <w:r w:rsidRPr="0040552B">
        <w:rPr>
          <w:rFonts w:ascii="Times New Roman" w:hAnsi="Times New Roman" w:cs="Times New Roman"/>
          <w:b/>
          <w:sz w:val="24"/>
          <w:szCs w:val="24"/>
        </w:rPr>
        <w:t>demanda contratada</w:t>
      </w:r>
    </w:p>
    <w:p w:rsidR="0040552B" w:rsidRDefault="00DF7263" w:rsidP="0007417B">
      <w:pPr>
        <w:jc w:val="both"/>
        <w:rPr>
          <w:rFonts w:ascii="Times New Roman" w:hAnsi="Times New Roman" w:cs="Times New Roman"/>
          <w:i/>
          <w:sz w:val="24"/>
          <w:szCs w:val="24"/>
        </w:rPr>
      </w:pPr>
      <w:r>
        <w:rPr>
          <w:rFonts w:ascii="Times New Roman" w:hAnsi="Times New Roman" w:cs="Times New Roman"/>
          <w:sz w:val="24"/>
          <w:szCs w:val="24"/>
        </w:rPr>
        <w:t xml:space="preserve">Inicialmente, é pertinente entender que a </w:t>
      </w:r>
      <w:r w:rsidRPr="001566DA">
        <w:rPr>
          <w:rFonts w:ascii="Times New Roman" w:hAnsi="Times New Roman" w:cs="Times New Roman"/>
          <w:i/>
          <w:sz w:val="24"/>
          <w:szCs w:val="24"/>
        </w:rPr>
        <w:t xml:space="preserve">demanda é a soma das potências (KW) de todos os equipamentos ligados em um dado momento. A medição da demanda é realizada de 15 em 15 minutos durante o ciclo mensal de leitura. O valor máximo registrado nesse período será </w:t>
      </w:r>
      <w:r w:rsidR="008F25C1">
        <w:rPr>
          <w:rFonts w:ascii="Times New Roman" w:hAnsi="Times New Roman" w:cs="Times New Roman"/>
          <w:i/>
          <w:sz w:val="24"/>
          <w:szCs w:val="24"/>
        </w:rPr>
        <w:t>utilizado</w:t>
      </w:r>
      <w:r w:rsidRPr="001566DA">
        <w:rPr>
          <w:rFonts w:ascii="Times New Roman" w:hAnsi="Times New Roman" w:cs="Times New Roman"/>
          <w:i/>
          <w:sz w:val="24"/>
          <w:szCs w:val="24"/>
        </w:rPr>
        <w:t xml:space="preserve"> para o c</w:t>
      </w:r>
      <w:r w:rsidR="008F25C1">
        <w:rPr>
          <w:rFonts w:ascii="Times New Roman" w:hAnsi="Times New Roman" w:cs="Times New Roman"/>
          <w:i/>
          <w:sz w:val="24"/>
          <w:szCs w:val="24"/>
        </w:rPr>
        <w:t>álculo da conta, e é considerado</w:t>
      </w:r>
      <w:r w:rsidRPr="001566DA">
        <w:rPr>
          <w:rFonts w:ascii="Times New Roman" w:hAnsi="Times New Roman" w:cs="Times New Roman"/>
          <w:i/>
          <w:sz w:val="24"/>
          <w:szCs w:val="24"/>
        </w:rPr>
        <w:t xml:space="preserve"> </w:t>
      </w:r>
      <w:r w:rsidR="008F25C1">
        <w:rPr>
          <w:rFonts w:ascii="Times New Roman" w:hAnsi="Times New Roman" w:cs="Times New Roman"/>
          <w:i/>
          <w:sz w:val="24"/>
          <w:szCs w:val="24"/>
        </w:rPr>
        <w:t>como</w:t>
      </w:r>
      <w:r w:rsidRPr="001566DA">
        <w:rPr>
          <w:rFonts w:ascii="Times New Roman" w:hAnsi="Times New Roman" w:cs="Times New Roman"/>
          <w:i/>
          <w:sz w:val="24"/>
          <w:szCs w:val="24"/>
        </w:rPr>
        <w:t xml:space="preserve"> demanda medida. Já a demanda faturável</w:t>
      </w:r>
      <w:r w:rsidR="001566DA" w:rsidRPr="001566DA">
        <w:rPr>
          <w:rFonts w:ascii="Times New Roman" w:hAnsi="Times New Roman" w:cs="Times New Roman"/>
          <w:i/>
          <w:sz w:val="24"/>
          <w:szCs w:val="24"/>
        </w:rPr>
        <w:t xml:space="preserve"> será o maior valor dentre </w:t>
      </w:r>
      <w:r w:rsidR="008F25C1">
        <w:rPr>
          <w:rFonts w:ascii="Times New Roman" w:hAnsi="Times New Roman" w:cs="Times New Roman"/>
          <w:i/>
          <w:sz w:val="24"/>
          <w:szCs w:val="24"/>
        </w:rPr>
        <w:t>a demanda contrata</w:t>
      </w:r>
      <w:r w:rsidR="001566DA" w:rsidRPr="001566DA">
        <w:rPr>
          <w:rFonts w:ascii="Times New Roman" w:hAnsi="Times New Roman" w:cs="Times New Roman"/>
          <w:i/>
          <w:sz w:val="24"/>
          <w:szCs w:val="24"/>
        </w:rPr>
        <w:t xml:space="preserve"> e </w:t>
      </w:r>
      <w:r w:rsidR="008F25C1">
        <w:rPr>
          <w:rFonts w:ascii="Times New Roman" w:hAnsi="Times New Roman" w:cs="Times New Roman"/>
          <w:i/>
          <w:sz w:val="24"/>
          <w:szCs w:val="24"/>
        </w:rPr>
        <w:t>a demanda registrada</w:t>
      </w:r>
      <w:r w:rsidR="001566DA" w:rsidRPr="001566DA">
        <w:rPr>
          <w:rFonts w:ascii="Times New Roman" w:hAnsi="Times New Roman" w:cs="Times New Roman"/>
          <w:i/>
          <w:sz w:val="24"/>
          <w:szCs w:val="24"/>
        </w:rPr>
        <w:t>.</w:t>
      </w:r>
    </w:p>
    <w:p w:rsidR="001566DA" w:rsidRDefault="001566DA" w:rsidP="0007417B">
      <w:pPr>
        <w:jc w:val="both"/>
        <w:rPr>
          <w:rFonts w:ascii="Times New Roman" w:hAnsi="Times New Roman" w:cs="Times New Roman"/>
          <w:sz w:val="24"/>
          <w:szCs w:val="24"/>
        </w:rPr>
      </w:pPr>
      <w:r>
        <w:rPr>
          <w:rFonts w:ascii="Times New Roman" w:hAnsi="Times New Roman" w:cs="Times New Roman"/>
          <w:sz w:val="24"/>
          <w:szCs w:val="24"/>
        </w:rPr>
        <w:t xml:space="preserve">As unidades consumidoras conectadas em média/alta tensão devem contratar formalmente a demanda (KW) devido às características e à representatividade de suas cargas no sistema elétrico. Quem define a demanda a ser contratada é o próprio cliente, e </w:t>
      </w:r>
      <w:r w:rsidR="007B1CEF">
        <w:rPr>
          <w:rFonts w:ascii="Times New Roman" w:hAnsi="Times New Roman" w:cs="Times New Roman"/>
          <w:sz w:val="24"/>
          <w:szCs w:val="24"/>
        </w:rPr>
        <w:t>o valor</w:t>
      </w:r>
      <w:r>
        <w:rPr>
          <w:rFonts w:ascii="Times New Roman" w:hAnsi="Times New Roman" w:cs="Times New Roman"/>
          <w:sz w:val="24"/>
          <w:szCs w:val="24"/>
        </w:rPr>
        <w:t xml:space="preserve"> de</w:t>
      </w:r>
      <w:r w:rsidR="008F25C1">
        <w:rPr>
          <w:rFonts w:ascii="Times New Roman" w:hAnsi="Times New Roman" w:cs="Times New Roman"/>
          <w:sz w:val="24"/>
          <w:szCs w:val="24"/>
        </w:rPr>
        <w:t>ve ser o mais próximo possível d</w:t>
      </w:r>
      <w:r>
        <w:rPr>
          <w:rFonts w:ascii="Times New Roman" w:hAnsi="Times New Roman" w:cs="Times New Roman"/>
          <w:sz w:val="24"/>
          <w:szCs w:val="24"/>
        </w:rPr>
        <w:t>o que realmente é utilizado pe</w:t>
      </w:r>
      <w:r w:rsidR="003476FB">
        <w:rPr>
          <w:rFonts w:ascii="Times New Roman" w:hAnsi="Times New Roman" w:cs="Times New Roman"/>
          <w:sz w:val="24"/>
          <w:szCs w:val="24"/>
        </w:rPr>
        <w:t xml:space="preserve">la unidade consumidora, uma vez que se o valor contratado for insuficiente, se pagará até 3 vezes </w:t>
      </w:r>
      <w:r w:rsidR="00207C0B">
        <w:rPr>
          <w:rFonts w:ascii="Times New Roman" w:hAnsi="Times New Roman" w:cs="Times New Roman"/>
          <w:sz w:val="24"/>
          <w:szCs w:val="24"/>
        </w:rPr>
        <w:t xml:space="preserve">mais </w:t>
      </w:r>
      <w:r w:rsidR="003476FB">
        <w:rPr>
          <w:rFonts w:ascii="Times New Roman" w:hAnsi="Times New Roman" w:cs="Times New Roman"/>
          <w:sz w:val="24"/>
          <w:szCs w:val="24"/>
        </w:rPr>
        <w:t>pelas ultrapassagens e, se excessivo, se pagará por algo que não é utilizado.</w:t>
      </w:r>
    </w:p>
    <w:p w:rsidR="00623AD1" w:rsidRDefault="00623AD1" w:rsidP="0007417B">
      <w:pPr>
        <w:jc w:val="both"/>
        <w:rPr>
          <w:rFonts w:ascii="Times New Roman" w:hAnsi="Times New Roman" w:cs="Times New Roman"/>
          <w:sz w:val="24"/>
          <w:szCs w:val="24"/>
        </w:rPr>
      </w:pPr>
    </w:p>
    <w:p w:rsidR="00DF1ABC" w:rsidRDefault="00DF1ABC" w:rsidP="0007417B">
      <w:pPr>
        <w:jc w:val="both"/>
        <w:rPr>
          <w:rFonts w:ascii="Times New Roman" w:hAnsi="Times New Roman" w:cs="Times New Roman"/>
          <w:i/>
          <w:sz w:val="24"/>
          <w:szCs w:val="24"/>
        </w:rPr>
      </w:pPr>
      <w:r>
        <w:rPr>
          <w:rFonts w:ascii="Times New Roman" w:hAnsi="Times New Roman" w:cs="Times New Roman"/>
          <w:sz w:val="24"/>
          <w:szCs w:val="24"/>
        </w:rPr>
        <w:t>Por isso, é salutar monitorar periodicamente o consumo de energia, para identificar</w:t>
      </w:r>
      <w:r w:rsidR="005906ED">
        <w:rPr>
          <w:rFonts w:ascii="Times New Roman" w:hAnsi="Times New Roman" w:cs="Times New Roman"/>
          <w:sz w:val="24"/>
          <w:szCs w:val="24"/>
        </w:rPr>
        <w:t>,</w:t>
      </w:r>
      <w:r>
        <w:rPr>
          <w:rFonts w:ascii="Times New Roman" w:hAnsi="Times New Roman" w:cs="Times New Roman"/>
          <w:sz w:val="24"/>
          <w:szCs w:val="24"/>
        </w:rPr>
        <w:t xml:space="preserve"> nas faturas</w:t>
      </w:r>
      <w:r w:rsidR="005906ED">
        <w:rPr>
          <w:rFonts w:ascii="Times New Roman" w:hAnsi="Times New Roman" w:cs="Times New Roman"/>
          <w:sz w:val="24"/>
          <w:szCs w:val="24"/>
        </w:rPr>
        <w:t>,</w:t>
      </w:r>
      <w:r>
        <w:rPr>
          <w:rFonts w:ascii="Times New Roman" w:hAnsi="Times New Roman" w:cs="Times New Roman"/>
          <w:sz w:val="24"/>
          <w:szCs w:val="24"/>
        </w:rPr>
        <w:t xml:space="preserve"> possíveis casos de </w:t>
      </w:r>
      <w:r w:rsidRPr="00DF1ABC">
        <w:rPr>
          <w:rFonts w:ascii="Times New Roman" w:hAnsi="Times New Roman" w:cs="Times New Roman"/>
          <w:i/>
          <w:sz w:val="24"/>
          <w:szCs w:val="24"/>
        </w:rPr>
        <w:t xml:space="preserve">SOBRECONTRATAÇÃO (quando a demanda contratada é maior do que a medida) ou SUBCONTRATAÇÃO (quando a demanda contratada é inferior à medida. </w:t>
      </w:r>
      <w:r w:rsidR="005906ED">
        <w:rPr>
          <w:rFonts w:ascii="Times New Roman" w:hAnsi="Times New Roman" w:cs="Times New Roman"/>
          <w:i/>
          <w:sz w:val="24"/>
          <w:szCs w:val="24"/>
        </w:rPr>
        <w:t>A subcontratação p</w:t>
      </w:r>
      <w:r w:rsidRPr="00DF1ABC">
        <w:rPr>
          <w:rFonts w:ascii="Times New Roman" w:hAnsi="Times New Roman" w:cs="Times New Roman"/>
          <w:i/>
          <w:sz w:val="24"/>
          <w:szCs w:val="24"/>
        </w:rPr>
        <w:t>ode ser identificad</w:t>
      </w:r>
      <w:r w:rsidR="005906ED">
        <w:rPr>
          <w:rFonts w:ascii="Times New Roman" w:hAnsi="Times New Roman" w:cs="Times New Roman"/>
          <w:i/>
          <w:sz w:val="24"/>
          <w:szCs w:val="24"/>
        </w:rPr>
        <w:t>a</w:t>
      </w:r>
      <w:r w:rsidRPr="00DF1ABC">
        <w:rPr>
          <w:rFonts w:ascii="Times New Roman" w:hAnsi="Times New Roman" w:cs="Times New Roman"/>
          <w:i/>
          <w:sz w:val="24"/>
          <w:szCs w:val="24"/>
        </w:rPr>
        <w:t xml:space="preserve"> quando há itens de ultrapassagem de demanda faturados).</w:t>
      </w:r>
    </w:p>
    <w:p w:rsidR="00727C3C" w:rsidRDefault="00207C0B" w:rsidP="00207C0B">
      <w:pPr>
        <w:spacing w:line="360" w:lineRule="auto"/>
        <w:jc w:val="both"/>
        <w:rPr>
          <w:rFonts w:ascii="Times New Roman" w:hAnsi="Times New Roman" w:cs="Times New Roman"/>
          <w:sz w:val="24"/>
          <w:szCs w:val="24"/>
        </w:rPr>
      </w:pPr>
      <w:r>
        <w:rPr>
          <w:rFonts w:ascii="Times New Roman" w:hAnsi="Times New Roman" w:cs="Times New Roman"/>
          <w:sz w:val="24"/>
          <w:szCs w:val="24"/>
        </w:rPr>
        <w:t>Alerta-se que as ultrapassag</w:t>
      </w:r>
      <w:r w:rsidR="00646EA3">
        <w:rPr>
          <w:rFonts w:ascii="Times New Roman" w:hAnsi="Times New Roman" w:cs="Times New Roman"/>
          <w:sz w:val="24"/>
          <w:szCs w:val="24"/>
        </w:rPr>
        <w:t>ens de demanda ocorrem quando os valores medidos excedem</w:t>
      </w:r>
      <w:r>
        <w:rPr>
          <w:rFonts w:ascii="Times New Roman" w:hAnsi="Times New Roman" w:cs="Times New Roman"/>
          <w:sz w:val="24"/>
          <w:szCs w:val="24"/>
        </w:rPr>
        <w:t xml:space="preserve"> em mais de 5 </w:t>
      </w:r>
      <w:r w:rsidR="00727C3C">
        <w:rPr>
          <w:rFonts w:ascii="Times New Roman" w:hAnsi="Times New Roman" w:cs="Times New Roman"/>
          <w:sz w:val="24"/>
          <w:szCs w:val="24"/>
        </w:rPr>
        <w:t xml:space="preserve">% </w:t>
      </w:r>
      <w:r w:rsidR="00646EA3">
        <w:rPr>
          <w:rFonts w:ascii="Times New Roman" w:hAnsi="Times New Roman" w:cs="Times New Roman"/>
          <w:sz w:val="24"/>
          <w:szCs w:val="24"/>
        </w:rPr>
        <w:t>os valor</w:t>
      </w:r>
      <w:r>
        <w:rPr>
          <w:rFonts w:ascii="Times New Roman" w:hAnsi="Times New Roman" w:cs="Times New Roman"/>
          <w:sz w:val="24"/>
          <w:szCs w:val="24"/>
        </w:rPr>
        <w:t>es</w:t>
      </w:r>
      <w:r w:rsidR="00646EA3">
        <w:rPr>
          <w:rFonts w:ascii="Times New Roman" w:hAnsi="Times New Roman" w:cs="Times New Roman"/>
          <w:sz w:val="24"/>
          <w:szCs w:val="24"/>
        </w:rPr>
        <w:t xml:space="preserve"> contratados</w:t>
      </w:r>
      <w:r w:rsidR="00727C3C">
        <w:rPr>
          <w:rFonts w:ascii="Times New Roman" w:hAnsi="Times New Roman" w:cs="Times New Roman"/>
          <w:sz w:val="24"/>
          <w:szCs w:val="24"/>
        </w:rPr>
        <w:t>, conforme estabelecido no art. 93 da Resolução Normativa da ANEEL nº 414/2010.</w:t>
      </w:r>
    </w:p>
    <w:p w:rsidR="00727C3C" w:rsidRDefault="00727C3C" w:rsidP="00207C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 resumo, a demanda contratada </w:t>
      </w:r>
      <w:r w:rsidR="003303C9">
        <w:rPr>
          <w:rFonts w:ascii="Times New Roman" w:hAnsi="Times New Roman" w:cs="Times New Roman"/>
          <w:sz w:val="24"/>
          <w:szCs w:val="24"/>
        </w:rPr>
        <w:t xml:space="preserve">é considerada </w:t>
      </w:r>
      <w:r>
        <w:rPr>
          <w:rFonts w:ascii="Times New Roman" w:hAnsi="Times New Roman" w:cs="Times New Roman"/>
          <w:sz w:val="24"/>
          <w:szCs w:val="24"/>
        </w:rPr>
        <w:t xml:space="preserve">adequada quando os valores de demanda de potência registrados, contratados e faturados forem </w:t>
      </w:r>
      <w:r w:rsidR="003303C9">
        <w:rPr>
          <w:rFonts w:ascii="Times New Roman" w:hAnsi="Times New Roman" w:cs="Times New Roman"/>
          <w:sz w:val="24"/>
          <w:szCs w:val="24"/>
        </w:rPr>
        <w:t xml:space="preserve">parecidos, </w:t>
      </w:r>
      <w:r>
        <w:rPr>
          <w:rFonts w:ascii="Times New Roman" w:hAnsi="Times New Roman" w:cs="Times New Roman"/>
          <w:sz w:val="24"/>
          <w:szCs w:val="24"/>
        </w:rPr>
        <w:t xml:space="preserve">pois assim </w:t>
      </w:r>
      <w:r w:rsidR="00F83A9E">
        <w:rPr>
          <w:rFonts w:ascii="Times New Roman" w:hAnsi="Times New Roman" w:cs="Times New Roman"/>
          <w:sz w:val="24"/>
          <w:szCs w:val="24"/>
        </w:rPr>
        <w:t xml:space="preserve">se </w:t>
      </w:r>
      <w:r>
        <w:rPr>
          <w:rFonts w:ascii="Times New Roman" w:hAnsi="Times New Roman" w:cs="Times New Roman"/>
          <w:sz w:val="24"/>
          <w:szCs w:val="24"/>
        </w:rPr>
        <w:t xml:space="preserve">estará pagando pelo </w:t>
      </w:r>
      <w:r w:rsidR="003303C9">
        <w:rPr>
          <w:rFonts w:ascii="Times New Roman" w:hAnsi="Times New Roman" w:cs="Times New Roman"/>
          <w:sz w:val="24"/>
          <w:szCs w:val="24"/>
        </w:rPr>
        <w:t>estritamente necessário.</w:t>
      </w:r>
    </w:p>
    <w:p w:rsidR="00276130" w:rsidRDefault="00276130" w:rsidP="00207C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caso concreto da UFRPE, o histórico de medição dos 12 meses </w:t>
      </w:r>
      <w:r w:rsidR="00186377">
        <w:rPr>
          <w:rFonts w:ascii="Times New Roman" w:hAnsi="Times New Roman" w:cs="Times New Roman"/>
          <w:sz w:val="24"/>
          <w:szCs w:val="24"/>
        </w:rPr>
        <w:t xml:space="preserve">analisados </w:t>
      </w:r>
      <w:r>
        <w:rPr>
          <w:rFonts w:ascii="Times New Roman" w:hAnsi="Times New Roman" w:cs="Times New Roman"/>
          <w:sz w:val="24"/>
          <w:szCs w:val="24"/>
        </w:rPr>
        <w:t>(</w:t>
      </w:r>
      <w:r w:rsidR="00186377">
        <w:rPr>
          <w:rFonts w:ascii="Times New Roman" w:hAnsi="Times New Roman" w:cs="Times New Roman"/>
          <w:sz w:val="24"/>
          <w:szCs w:val="24"/>
        </w:rPr>
        <w:t xml:space="preserve">período: </w:t>
      </w:r>
      <w:r>
        <w:rPr>
          <w:rFonts w:ascii="Times New Roman" w:hAnsi="Times New Roman" w:cs="Times New Roman"/>
          <w:sz w:val="24"/>
          <w:szCs w:val="24"/>
        </w:rPr>
        <w:t>10/2015 a 09/2016)</w:t>
      </w:r>
      <w:r w:rsidR="00186377">
        <w:rPr>
          <w:rFonts w:ascii="Times New Roman" w:hAnsi="Times New Roman" w:cs="Times New Roman"/>
          <w:sz w:val="24"/>
          <w:szCs w:val="24"/>
        </w:rPr>
        <w:t xml:space="preserve"> demonstra que há oportunidades para eventuais ajustes nos valores de demanda contratada. Com base nos dados fornecidos pela CEL</w:t>
      </w:r>
      <w:r w:rsidR="00AC3FD2">
        <w:rPr>
          <w:rFonts w:ascii="Times New Roman" w:hAnsi="Times New Roman" w:cs="Times New Roman"/>
          <w:sz w:val="24"/>
          <w:szCs w:val="24"/>
        </w:rPr>
        <w:t>PE, foi elaborado pela AUDIN o Q</w:t>
      </w:r>
      <w:r w:rsidR="00186377">
        <w:rPr>
          <w:rFonts w:ascii="Times New Roman" w:hAnsi="Times New Roman" w:cs="Times New Roman"/>
          <w:sz w:val="24"/>
          <w:szCs w:val="24"/>
        </w:rPr>
        <w:t>uadro 01 - Estudo de otimização da demanda contratada</w:t>
      </w:r>
      <w:r w:rsidR="00AC3FD2">
        <w:rPr>
          <w:rFonts w:ascii="Times New Roman" w:hAnsi="Times New Roman" w:cs="Times New Roman"/>
          <w:sz w:val="24"/>
          <w:szCs w:val="24"/>
        </w:rPr>
        <w:t xml:space="preserve"> (visão das condições contratuais)</w:t>
      </w:r>
      <w:r w:rsidR="00186377">
        <w:rPr>
          <w:rFonts w:ascii="Times New Roman" w:hAnsi="Times New Roman" w:cs="Times New Roman"/>
          <w:sz w:val="24"/>
          <w:szCs w:val="24"/>
        </w:rPr>
        <w:t>, adiante exposto.</w:t>
      </w:r>
    </w:p>
    <w:p w:rsidR="00510448" w:rsidRDefault="00A36C26" w:rsidP="00207C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Conforme </w:t>
      </w:r>
      <w:r w:rsidR="00AC3FD2">
        <w:rPr>
          <w:rFonts w:ascii="Times New Roman" w:hAnsi="Times New Roman" w:cs="Times New Roman"/>
          <w:sz w:val="24"/>
          <w:szCs w:val="24"/>
        </w:rPr>
        <w:t>se pode</w:t>
      </w:r>
      <w:r>
        <w:rPr>
          <w:rFonts w:ascii="Times New Roman" w:hAnsi="Times New Roman" w:cs="Times New Roman"/>
          <w:sz w:val="24"/>
          <w:szCs w:val="24"/>
        </w:rPr>
        <w:t xml:space="preserve"> observar no citado quadro, os resultados encontrados revelam a existência de sobrecontratação ou subcontratação para cada um dos contratos analisados da conta contrato coletiva 6100040075 da UFRPE. </w:t>
      </w:r>
    </w:p>
    <w:p w:rsidR="00510448" w:rsidRDefault="00510448" w:rsidP="00207C0B">
      <w:pPr>
        <w:spacing w:line="360" w:lineRule="auto"/>
        <w:jc w:val="both"/>
        <w:rPr>
          <w:rFonts w:ascii="Times New Roman" w:hAnsi="Times New Roman" w:cs="Times New Roman"/>
          <w:sz w:val="24"/>
          <w:szCs w:val="24"/>
        </w:rPr>
      </w:pPr>
      <w:r>
        <w:rPr>
          <w:rFonts w:ascii="Times New Roman" w:hAnsi="Times New Roman" w:cs="Times New Roman"/>
          <w:sz w:val="24"/>
          <w:szCs w:val="24"/>
        </w:rPr>
        <w:t>Para auxiliar nas análises de eventuais ajustes das condições contratuais, a</w:t>
      </w:r>
      <w:r w:rsidR="00A36C26">
        <w:rPr>
          <w:rFonts w:ascii="Times New Roman" w:hAnsi="Times New Roman" w:cs="Times New Roman"/>
          <w:sz w:val="24"/>
          <w:szCs w:val="24"/>
        </w:rPr>
        <w:t>tenção especial deve ser dada aos casos em que a diferença percentual (média da demanda medida - demanda contratada com 5% de tolerância) for superior ao</w:t>
      </w:r>
      <w:r w:rsidR="00631BB0">
        <w:rPr>
          <w:rFonts w:ascii="Times New Roman" w:hAnsi="Times New Roman" w:cs="Times New Roman"/>
          <w:sz w:val="24"/>
          <w:szCs w:val="24"/>
        </w:rPr>
        <w:t xml:space="preserve"> percentual de</w:t>
      </w:r>
      <w:r w:rsidR="00A36C26">
        <w:rPr>
          <w:rFonts w:ascii="Times New Roman" w:hAnsi="Times New Roman" w:cs="Times New Roman"/>
          <w:sz w:val="24"/>
          <w:szCs w:val="24"/>
        </w:rPr>
        <w:t xml:space="preserve"> 10% (positivo ou negativo).</w:t>
      </w:r>
      <w:r>
        <w:rPr>
          <w:rFonts w:ascii="Times New Roman" w:hAnsi="Times New Roman" w:cs="Times New Roman"/>
          <w:sz w:val="24"/>
          <w:szCs w:val="24"/>
        </w:rPr>
        <w:t xml:space="preserve"> Além </w:t>
      </w:r>
      <w:r w:rsidR="008E55B2">
        <w:rPr>
          <w:rFonts w:ascii="Times New Roman" w:hAnsi="Times New Roman" w:cs="Times New Roman"/>
          <w:sz w:val="24"/>
          <w:szCs w:val="24"/>
        </w:rPr>
        <w:t xml:space="preserve">da </w:t>
      </w:r>
      <w:r>
        <w:rPr>
          <w:rFonts w:ascii="Times New Roman" w:hAnsi="Times New Roman" w:cs="Times New Roman"/>
          <w:sz w:val="24"/>
          <w:szCs w:val="24"/>
        </w:rPr>
        <w:t>análise</w:t>
      </w:r>
      <w:r w:rsidR="008E55B2">
        <w:rPr>
          <w:rFonts w:ascii="Times New Roman" w:hAnsi="Times New Roman" w:cs="Times New Roman"/>
          <w:sz w:val="24"/>
          <w:szCs w:val="24"/>
        </w:rPr>
        <w:t xml:space="preserve"> desse quadro</w:t>
      </w:r>
      <w:r>
        <w:rPr>
          <w:rFonts w:ascii="Times New Roman" w:hAnsi="Times New Roman" w:cs="Times New Roman"/>
          <w:sz w:val="24"/>
          <w:szCs w:val="24"/>
        </w:rPr>
        <w:t>, pode ser consultado</w:t>
      </w:r>
      <w:r w:rsidR="008E55B2">
        <w:rPr>
          <w:rFonts w:ascii="Times New Roman" w:hAnsi="Times New Roman" w:cs="Times New Roman"/>
          <w:sz w:val="24"/>
          <w:szCs w:val="24"/>
        </w:rPr>
        <w:t xml:space="preserve">, </w:t>
      </w:r>
      <w:r w:rsidR="00594BF1">
        <w:rPr>
          <w:rFonts w:ascii="Times New Roman" w:hAnsi="Times New Roman" w:cs="Times New Roman"/>
          <w:sz w:val="24"/>
          <w:szCs w:val="24"/>
        </w:rPr>
        <w:t>simultaneamente</w:t>
      </w:r>
      <w:r w:rsidR="008E55B2">
        <w:rPr>
          <w:rFonts w:ascii="Times New Roman" w:hAnsi="Times New Roman" w:cs="Times New Roman"/>
          <w:sz w:val="24"/>
          <w:szCs w:val="24"/>
        </w:rPr>
        <w:t>,</w:t>
      </w:r>
      <w:r>
        <w:rPr>
          <w:rFonts w:ascii="Times New Roman" w:hAnsi="Times New Roman" w:cs="Times New Roman"/>
          <w:sz w:val="24"/>
          <w:szCs w:val="24"/>
        </w:rPr>
        <w:t xml:space="preserve"> o </w:t>
      </w:r>
      <w:r w:rsidR="00AC3FD2">
        <w:rPr>
          <w:rFonts w:ascii="Times New Roman" w:hAnsi="Times New Roman" w:cs="Times New Roman"/>
          <w:sz w:val="24"/>
          <w:szCs w:val="24"/>
        </w:rPr>
        <w:t>Q</w:t>
      </w:r>
      <w:r w:rsidR="008C098D">
        <w:rPr>
          <w:rFonts w:ascii="Times New Roman" w:hAnsi="Times New Roman" w:cs="Times New Roman"/>
          <w:sz w:val="24"/>
          <w:szCs w:val="24"/>
        </w:rPr>
        <w:t>uadro 2</w:t>
      </w:r>
      <w:r w:rsidR="008E55B2" w:rsidRPr="008E55B2">
        <w:rPr>
          <w:rFonts w:ascii="Times New Roman" w:hAnsi="Times New Roman" w:cs="Times New Roman"/>
          <w:sz w:val="24"/>
          <w:szCs w:val="24"/>
        </w:rPr>
        <w:t xml:space="preserve"> - Estudo de otimização da demanda contratada (visão financeira)</w:t>
      </w:r>
      <w:r w:rsidR="008E55B2">
        <w:rPr>
          <w:rFonts w:ascii="Times New Roman" w:hAnsi="Times New Roman" w:cs="Times New Roman"/>
          <w:sz w:val="24"/>
          <w:szCs w:val="24"/>
        </w:rPr>
        <w:t xml:space="preserve">, mais adiante apresentado. Este último quadro </w:t>
      </w:r>
      <w:r w:rsidR="00F520B7">
        <w:rPr>
          <w:rFonts w:ascii="Times New Roman" w:hAnsi="Times New Roman" w:cs="Times New Roman"/>
          <w:sz w:val="24"/>
          <w:szCs w:val="24"/>
        </w:rPr>
        <w:t>demonstra</w:t>
      </w:r>
      <w:r w:rsidR="00631BB0">
        <w:rPr>
          <w:rFonts w:ascii="Times New Roman" w:hAnsi="Times New Roman" w:cs="Times New Roman"/>
          <w:sz w:val="24"/>
          <w:szCs w:val="24"/>
        </w:rPr>
        <w:t xml:space="preserve"> </w:t>
      </w:r>
      <w:r w:rsidR="008E55B2">
        <w:rPr>
          <w:rFonts w:ascii="Times New Roman" w:hAnsi="Times New Roman" w:cs="Times New Roman"/>
          <w:sz w:val="24"/>
          <w:szCs w:val="24"/>
        </w:rPr>
        <w:t>a oportunidade de redução de custos para cada um dos contratos de média/alta tensão, caso esta IFES tome a decisão de realizar a revisão contratual</w:t>
      </w:r>
      <w:r w:rsidR="00894EF9">
        <w:rPr>
          <w:rFonts w:ascii="Times New Roman" w:hAnsi="Times New Roman" w:cs="Times New Roman"/>
          <w:sz w:val="24"/>
          <w:szCs w:val="24"/>
        </w:rPr>
        <w:t xml:space="preserve"> nos contratos passíveis de ajustes</w:t>
      </w:r>
      <w:r w:rsidR="008E55B2">
        <w:rPr>
          <w:rFonts w:ascii="Times New Roman" w:hAnsi="Times New Roman" w:cs="Times New Roman"/>
          <w:sz w:val="24"/>
          <w:szCs w:val="24"/>
        </w:rPr>
        <w:t>.</w:t>
      </w:r>
    </w:p>
    <w:p w:rsidR="00662AC4" w:rsidRDefault="00662AC4" w:rsidP="00207C0B">
      <w:pPr>
        <w:spacing w:line="360" w:lineRule="auto"/>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sectPr w:rsidR="0025104E" w:rsidSect="00893B83">
          <w:headerReference w:type="default" r:id="rId8"/>
          <w:footerReference w:type="default" r:id="rId9"/>
          <w:pgSz w:w="11906" w:h="16838"/>
          <w:pgMar w:top="1417" w:right="1701" w:bottom="1417" w:left="1701" w:header="708" w:footer="708" w:gutter="0"/>
          <w:cols w:space="708"/>
          <w:docGrid w:linePitch="360"/>
        </w:sectPr>
      </w:pPr>
    </w:p>
    <w:p w:rsidR="00623AD1" w:rsidRDefault="00623AD1" w:rsidP="0007417B">
      <w:pPr>
        <w:jc w:val="both"/>
        <w:rPr>
          <w:rFonts w:ascii="Times New Roman" w:hAnsi="Times New Roman" w:cs="Times New Roman"/>
          <w:sz w:val="24"/>
          <w:szCs w:val="24"/>
        </w:rPr>
      </w:pPr>
    </w:p>
    <w:p w:rsidR="0025104E" w:rsidRDefault="006E01F3" w:rsidP="0007417B">
      <w:pPr>
        <w:jc w:val="both"/>
        <w:rPr>
          <w:rFonts w:ascii="Times New Roman" w:hAnsi="Times New Roman" w:cs="Times New Roman"/>
          <w:sz w:val="24"/>
          <w:szCs w:val="24"/>
        </w:rPr>
      </w:pPr>
      <w:r>
        <w:rPr>
          <w:rFonts w:ascii="Times New Roman" w:hAnsi="Times New Roman" w:cs="Times New Roman"/>
          <w:sz w:val="24"/>
          <w:szCs w:val="24"/>
        </w:rPr>
        <w:t>Quadro 1 -</w:t>
      </w:r>
      <w:r w:rsidR="00373C1A">
        <w:rPr>
          <w:rFonts w:ascii="Times New Roman" w:hAnsi="Times New Roman" w:cs="Times New Roman"/>
          <w:sz w:val="24"/>
          <w:szCs w:val="24"/>
        </w:rPr>
        <w:t xml:space="preserve"> Estudo de otimização da demanda contratada (</w:t>
      </w:r>
      <w:r w:rsidR="00510448">
        <w:rPr>
          <w:rFonts w:ascii="Times New Roman" w:hAnsi="Times New Roman" w:cs="Times New Roman"/>
          <w:sz w:val="24"/>
          <w:szCs w:val="24"/>
        </w:rPr>
        <w:t>visão das condições contratuais</w:t>
      </w:r>
      <w:r w:rsidR="00373C1A">
        <w:rPr>
          <w:rFonts w:ascii="Times New Roman" w:hAnsi="Times New Roman" w:cs="Times New Roman"/>
          <w:sz w:val="24"/>
          <w:szCs w:val="24"/>
        </w:rPr>
        <w:t>)</w:t>
      </w: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25104E" w:rsidRDefault="0025104E"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07417B">
      <w:pPr>
        <w:jc w:val="both"/>
        <w:rPr>
          <w:rFonts w:ascii="Times New Roman" w:hAnsi="Times New Roman" w:cs="Times New Roman"/>
          <w:sz w:val="24"/>
          <w:szCs w:val="24"/>
        </w:rPr>
      </w:pPr>
    </w:p>
    <w:p w:rsidR="008C098D" w:rsidRDefault="008C098D" w:rsidP="008C098D">
      <w:pPr>
        <w:jc w:val="both"/>
        <w:rPr>
          <w:rFonts w:ascii="Times New Roman" w:hAnsi="Times New Roman" w:cs="Times New Roman"/>
          <w:sz w:val="24"/>
          <w:szCs w:val="24"/>
        </w:rPr>
      </w:pPr>
      <w:r>
        <w:rPr>
          <w:rFonts w:ascii="Times New Roman" w:hAnsi="Times New Roman" w:cs="Times New Roman"/>
          <w:sz w:val="24"/>
          <w:szCs w:val="24"/>
        </w:rPr>
        <w:t>Quadro 2 - Estudo de otimização da demanda contratada (visão financeira)</w:t>
      </w:r>
    </w:p>
    <w:p w:rsidR="008C098D" w:rsidRDefault="008C098D" w:rsidP="0007417B">
      <w:pPr>
        <w:jc w:val="both"/>
        <w:rPr>
          <w:rFonts w:ascii="Times New Roman" w:hAnsi="Times New Roman" w:cs="Times New Roman"/>
          <w:sz w:val="24"/>
          <w:szCs w:val="24"/>
        </w:rPr>
        <w:sectPr w:rsidR="008C098D" w:rsidSect="00893B83">
          <w:pgSz w:w="11906" w:h="16838"/>
          <w:pgMar w:top="1418" w:right="1701" w:bottom="1418" w:left="1701" w:header="709" w:footer="709" w:gutter="0"/>
          <w:cols w:space="708"/>
          <w:docGrid w:linePitch="360"/>
        </w:sectPr>
      </w:pPr>
      <w:r>
        <w:rPr>
          <w:rFonts w:ascii="Times New Roman" w:hAnsi="Times New Roman" w:cs="Times New Roman"/>
          <w:sz w:val="24"/>
          <w:szCs w:val="24"/>
        </w:rPr>
        <w:t xml:space="preserve"> </w:t>
      </w:r>
    </w:p>
    <w:p w:rsidR="00623AD1" w:rsidRDefault="00623AD1" w:rsidP="00790027">
      <w:pPr>
        <w:jc w:val="both"/>
        <w:rPr>
          <w:rFonts w:ascii="Times New Roman" w:hAnsi="Times New Roman" w:cs="Times New Roman"/>
          <w:b/>
          <w:sz w:val="24"/>
          <w:szCs w:val="24"/>
        </w:rPr>
      </w:pPr>
    </w:p>
    <w:p w:rsidR="00790027" w:rsidRDefault="00594BF1" w:rsidP="00790027">
      <w:pPr>
        <w:jc w:val="both"/>
        <w:rPr>
          <w:rFonts w:ascii="Times New Roman" w:hAnsi="Times New Roman" w:cs="Times New Roman"/>
          <w:b/>
          <w:sz w:val="24"/>
          <w:szCs w:val="24"/>
        </w:rPr>
      </w:pPr>
      <w:r>
        <w:rPr>
          <w:rFonts w:ascii="Times New Roman" w:hAnsi="Times New Roman" w:cs="Times New Roman"/>
          <w:b/>
          <w:sz w:val="24"/>
          <w:szCs w:val="24"/>
        </w:rPr>
        <w:t>2</w:t>
      </w:r>
      <w:r w:rsidR="00790027" w:rsidRPr="0040552B">
        <w:rPr>
          <w:rFonts w:ascii="Times New Roman" w:hAnsi="Times New Roman" w:cs="Times New Roman"/>
          <w:b/>
          <w:sz w:val="24"/>
          <w:szCs w:val="24"/>
        </w:rPr>
        <w:t xml:space="preserve">º) Análise da </w:t>
      </w:r>
      <w:r w:rsidR="00790027">
        <w:rPr>
          <w:rFonts w:ascii="Times New Roman" w:hAnsi="Times New Roman" w:cs="Times New Roman"/>
          <w:b/>
          <w:sz w:val="24"/>
          <w:szCs w:val="24"/>
        </w:rPr>
        <w:t>existência de cobrança de energia reativa (correção do fator de potência)</w:t>
      </w:r>
    </w:p>
    <w:p w:rsidR="00790027" w:rsidRDefault="00AC734D" w:rsidP="00790027">
      <w:pPr>
        <w:jc w:val="both"/>
        <w:rPr>
          <w:rFonts w:ascii="Times New Roman" w:hAnsi="Times New Roman" w:cs="Times New Roman"/>
          <w:sz w:val="24"/>
          <w:szCs w:val="24"/>
        </w:rPr>
      </w:pPr>
      <w:r>
        <w:rPr>
          <w:rFonts w:ascii="Times New Roman" w:hAnsi="Times New Roman" w:cs="Times New Roman"/>
          <w:sz w:val="24"/>
          <w:szCs w:val="24"/>
        </w:rPr>
        <w:t>Em princípio, traz-se à tona uma breve definição, extraída da Cartilha Energia</w:t>
      </w:r>
      <w:r w:rsidR="00DC2909">
        <w:rPr>
          <w:rFonts w:ascii="Times New Roman" w:hAnsi="Times New Roman" w:cs="Times New Roman"/>
          <w:sz w:val="24"/>
          <w:szCs w:val="24"/>
        </w:rPr>
        <w:t>,</w:t>
      </w:r>
      <w:r>
        <w:rPr>
          <w:rFonts w:ascii="Times New Roman" w:hAnsi="Times New Roman" w:cs="Times New Roman"/>
          <w:sz w:val="24"/>
          <w:szCs w:val="24"/>
        </w:rPr>
        <w:t xml:space="preserve"> do MPOG, do que vem a ser energia reativa. </w:t>
      </w:r>
      <w:r w:rsidRPr="00AC734D">
        <w:rPr>
          <w:rFonts w:ascii="Times New Roman" w:hAnsi="Times New Roman" w:cs="Times New Roman"/>
          <w:i/>
          <w:sz w:val="24"/>
          <w:szCs w:val="24"/>
        </w:rPr>
        <w:t xml:space="preserve">É aquela que não produz trabalho útil e, quando cobrada pela concessionária, indica problema no fator de potência das instalações do órgão público. </w:t>
      </w:r>
      <w:r>
        <w:rPr>
          <w:rFonts w:ascii="Times New Roman" w:hAnsi="Times New Roman" w:cs="Times New Roman"/>
          <w:sz w:val="24"/>
          <w:szCs w:val="24"/>
        </w:rPr>
        <w:t>Se este problema não for resolvido, ocorrem custos adicionais desnecessários. Em uma instalação adequada não há cobrança dessa energia.</w:t>
      </w:r>
    </w:p>
    <w:p w:rsidR="00AC734D" w:rsidRDefault="00EC7AF8" w:rsidP="00790027">
      <w:pPr>
        <w:jc w:val="both"/>
        <w:rPr>
          <w:rFonts w:ascii="Times New Roman" w:hAnsi="Times New Roman" w:cs="Times New Roman"/>
          <w:i/>
          <w:sz w:val="24"/>
          <w:szCs w:val="24"/>
        </w:rPr>
      </w:pPr>
      <w:r>
        <w:rPr>
          <w:rFonts w:ascii="Times New Roman" w:hAnsi="Times New Roman" w:cs="Times New Roman"/>
          <w:sz w:val="24"/>
          <w:szCs w:val="24"/>
        </w:rPr>
        <w:t xml:space="preserve">O Manual de Tarifação da Energia Elétrica, do PROCEL, de agosto/2011, complementa que </w:t>
      </w:r>
      <w:r w:rsidRPr="00EC7AF8">
        <w:rPr>
          <w:rFonts w:ascii="Times New Roman" w:hAnsi="Times New Roman" w:cs="Times New Roman"/>
          <w:i/>
          <w:sz w:val="24"/>
          <w:szCs w:val="24"/>
        </w:rPr>
        <w:t>a energia reativa é responsável pela formação de campos magnéticos, necessários ao funcionamento de alguns aparelhos que possuem motor (geladeira, freezer, ventilador, máquinas de lavar, sistemas de climatização, escada rolante etc.) ou indutor (reator eletromagnético utilizado nas luminárias com lâmpadas fluorescentes).</w:t>
      </w:r>
    </w:p>
    <w:p w:rsidR="00645E77" w:rsidRDefault="006D359D" w:rsidP="00790027">
      <w:pPr>
        <w:jc w:val="both"/>
        <w:rPr>
          <w:rFonts w:ascii="Times New Roman" w:hAnsi="Times New Roman" w:cs="Times New Roman"/>
          <w:sz w:val="24"/>
          <w:szCs w:val="24"/>
        </w:rPr>
      </w:pPr>
      <w:r>
        <w:rPr>
          <w:rFonts w:ascii="Times New Roman" w:hAnsi="Times New Roman" w:cs="Times New Roman"/>
          <w:sz w:val="24"/>
          <w:szCs w:val="24"/>
        </w:rPr>
        <w:t xml:space="preserve">Com relação ao fator de potência, a CELPE esclarece que este </w:t>
      </w:r>
      <w:r w:rsidRPr="00BC382A">
        <w:rPr>
          <w:rFonts w:ascii="Times New Roman" w:hAnsi="Times New Roman" w:cs="Times New Roman"/>
          <w:i/>
          <w:sz w:val="24"/>
          <w:szCs w:val="24"/>
        </w:rPr>
        <w:t>é um índice que demonstra se a utilização da energia elétrica é eficiente e se existem possibilidades de melhoria.</w:t>
      </w:r>
      <w:r>
        <w:rPr>
          <w:rFonts w:ascii="Times New Roman" w:hAnsi="Times New Roman" w:cs="Times New Roman"/>
          <w:sz w:val="24"/>
          <w:szCs w:val="24"/>
        </w:rPr>
        <w:t xml:space="preserve"> O limite mínimo desse índice, para as unidades consumidoras do Grupo A é de 0,92 (art.</w:t>
      </w:r>
      <w:r w:rsidR="008F7AF9">
        <w:rPr>
          <w:rFonts w:ascii="Times New Roman" w:hAnsi="Times New Roman" w:cs="Times New Roman"/>
          <w:sz w:val="24"/>
          <w:szCs w:val="24"/>
        </w:rPr>
        <w:t xml:space="preserve"> </w:t>
      </w:r>
      <w:r>
        <w:rPr>
          <w:rFonts w:ascii="Times New Roman" w:hAnsi="Times New Roman" w:cs="Times New Roman"/>
          <w:sz w:val="24"/>
          <w:szCs w:val="24"/>
        </w:rPr>
        <w:t xml:space="preserve">95 da </w:t>
      </w:r>
      <w:r w:rsidR="00A93B70">
        <w:rPr>
          <w:rFonts w:ascii="Times New Roman" w:hAnsi="Times New Roman" w:cs="Times New Roman"/>
          <w:sz w:val="24"/>
          <w:szCs w:val="24"/>
        </w:rPr>
        <w:t>Resolução Normativa ANEEL nº 414/2010</w:t>
      </w:r>
      <w:r>
        <w:rPr>
          <w:rFonts w:ascii="Times New Roman" w:hAnsi="Times New Roman" w:cs="Times New Roman"/>
          <w:sz w:val="24"/>
          <w:szCs w:val="24"/>
        </w:rPr>
        <w:t xml:space="preserve">). </w:t>
      </w:r>
    </w:p>
    <w:p w:rsidR="00ED3843" w:rsidRDefault="00ED3843" w:rsidP="00790027">
      <w:pPr>
        <w:jc w:val="both"/>
        <w:rPr>
          <w:rFonts w:ascii="Times New Roman" w:hAnsi="Times New Roman" w:cs="Times New Roman"/>
          <w:sz w:val="24"/>
          <w:szCs w:val="24"/>
        </w:rPr>
      </w:pPr>
      <w:r>
        <w:rPr>
          <w:rFonts w:ascii="Times New Roman" w:hAnsi="Times New Roman" w:cs="Times New Roman"/>
          <w:sz w:val="24"/>
          <w:szCs w:val="24"/>
        </w:rPr>
        <w:t>O conhecimento e o gerenciamento desse índice proporciona</w:t>
      </w:r>
      <w:r w:rsidR="00F520B7">
        <w:rPr>
          <w:rFonts w:ascii="Times New Roman" w:hAnsi="Times New Roman" w:cs="Times New Roman"/>
          <w:sz w:val="24"/>
          <w:szCs w:val="24"/>
        </w:rPr>
        <w:t>m</w:t>
      </w:r>
      <w:r>
        <w:rPr>
          <w:rFonts w:ascii="Times New Roman" w:hAnsi="Times New Roman" w:cs="Times New Roman"/>
          <w:sz w:val="24"/>
          <w:szCs w:val="24"/>
        </w:rPr>
        <w:t xml:space="preserve"> maior eficiência e segurança ao processo produtivo de uma instituição, além de reduzir custos desnecessários na conta. Quando o fator de potência está abaixo de 0,92 ocorre a </w:t>
      </w:r>
      <w:r w:rsidRPr="00BC382A">
        <w:rPr>
          <w:rFonts w:ascii="Times New Roman" w:hAnsi="Times New Roman" w:cs="Times New Roman"/>
          <w:sz w:val="24"/>
          <w:szCs w:val="24"/>
          <w:u w:val="single"/>
        </w:rPr>
        <w:t>cobrança de Demanda/Consumo Reativo Excedente</w:t>
      </w:r>
      <w:r>
        <w:rPr>
          <w:rFonts w:ascii="Times New Roman" w:hAnsi="Times New Roman" w:cs="Times New Roman"/>
          <w:sz w:val="24"/>
          <w:szCs w:val="24"/>
        </w:rPr>
        <w:t>.</w:t>
      </w:r>
    </w:p>
    <w:p w:rsidR="00ED3843" w:rsidRDefault="00ED3843" w:rsidP="00790027">
      <w:pPr>
        <w:jc w:val="both"/>
        <w:rPr>
          <w:rFonts w:ascii="Times New Roman" w:hAnsi="Times New Roman" w:cs="Times New Roman"/>
          <w:sz w:val="24"/>
          <w:szCs w:val="24"/>
        </w:rPr>
      </w:pPr>
      <w:r>
        <w:rPr>
          <w:rFonts w:ascii="Times New Roman" w:hAnsi="Times New Roman" w:cs="Times New Roman"/>
          <w:sz w:val="24"/>
          <w:szCs w:val="24"/>
        </w:rPr>
        <w:t>A CELPE alerta que a melhoria do fator de potência depende de ações de manutenção preventiva, bem como de correções nas instalações, podendo ser necessário o investimento para a instalação de banco de capacitores. Neste caso, nenhuma alteração do contrato deve ser solicitada à concessionária, e o problema deve</w:t>
      </w:r>
      <w:r w:rsidR="00BC382A">
        <w:rPr>
          <w:rFonts w:ascii="Times New Roman" w:hAnsi="Times New Roman" w:cs="Times New Roman"/>
          <w:sz w:val="24"/>
          <w:szCs w:val="24"/>
        </w:rPr>
        <w:t xml:space="preserve"> se</w:t>
      </w:r>
      <w:r>
        <w:rPr>
          <w:rFonts w:ascii="Times New Roman" w:hAnsi="Times New Roman" w:cs="Times New Roman"/>
          <w:sz w:val="24"/>
          <w:szCs w:val="24"/>
        </w:rPr>
        <w:t xml:space="preserve">r encaminhado </w:t>
      </w:r>
      <w:r w:rsidR="00BC382A">
        <w:rPr>
          <w:rFonts w:ascii="Times New Roman" w:hAnsi="Times New Roman" w:cs="Times New Roman"/>
          <w:sz w:val="24"/>
          <w:szCs w:val="24"/>
        </w:rPr>
        <w:t xml:space="preserve">a especialistas (equipe de manutenção </w:t>
      </w:r>
      <w:r w:rsidR="00F520B7">
        <w:rPr>
          <w:rFonts w:ascii="Times New Roman" w:hAnsi="Times New Roman" w:cs="Times New Roman"/>
          <w:sz w:val="24"/>
          <w:szCs w:val="24"/>
        </w:rPr>
        <w:t xml:space="preserve">do órgão </w:t>
      </w:r>
      <w:r w:rsidR="00BC382A">
        <w:rPr>
          <w:rFonts w:ascii="Times New Roman" w:hAnsi="Times New Roman" w:cs="Times New Roman"/>
          <w:sz w:val="24"/>
          <w:szCs w:val="24"/>
        </w:rPr>
        <w:t xml:space="preserve">ou empresa especializada no mercado), para determinação da melhor solução técnica </w:t>
      </w:r>
      <w:r w:rsidR="00D16AF7">
        <w:rPr>
          <w:rFonts w:ascii="Times New Roman" w:hAnsi="Times New Roman" w:cs="Times New Roman"/>
          <w:sz w:val="24"/>
          <w:szCs w:val="24"/>
        </w:rPr>
        <w:t>no intuito de</w:t>
      </w:r>
      <w:r w:rsidR="00BC382A">
        <w:rPr>
          <w:rFonts w:ascii="Times New Roman" w:hAnsi="Times New Roman" w:cs="Times New Roman"/>
          <w:sz w:val="24"/>
          <w:szCs w:val="24"/>
        </w:rPr>
        <w:t xml:space="preserve"> eliminar os excedentes.</w:t>
      </w:r>
    </w:p>
    <w:p w:rsidR="00CF598C" w:rsidRDefault="00BF79F8" w:rsidP="00790027">
      <w:pPr>
        <w:jc w:val="both"/>
        <w:rPr>
          <w:rFonts w:ascii="Times New Roman" w:hAnsi="Times New Roman" w:cs="Times New Roman"/>
          <w:sz w:val="24"/>
          <w:szCs w:val="24"/>
        </w:rPr>
      </w:pPr>
      <w:r>
        <w:rPr>
          <w:rFonts w:ascii="Times New Roman" w:hAnsi="Times New Roman" w:cs="Times New Roman"/>
          <w:sz w:val="24"/>
          <w:szCs w:val="24"/>
        </w:rPr>
        <w:t xml:space="preserve">No caso da UFRPE, o exame das faturas de energia elétrica relativas ao primeiro semestre de 2016 demonstra a existência de cobrança de Demanda Reativa Excedente e Consumo Reativo Excedente, </w:t>
      </w:r>
      <w:r w:rsidR="00F520B7">
        <w:rPr>
          <w:rFonts w:ascii="Times New Roman" w:hAnsi="Times New Roman" w:cs="Times New Roman"/>
          <w:sz w:val="24"/>
          <w:szCs w:val="24"/>
        </w:rPr>
        <w:t xml:space="preserve">caracterizando um baixo fator de potência, </w:t>
      </w:r>
      <w:r>
        <w:rPr>
          <w:rFonts w:ascii="Times New Roman" w:hAnsi="Times New Roman" w:cs="Times New Roman"/>
          <w:sz w:val="24"/>
          <w:szCs w:val="24"/>
        </w:rPr>
        <w:t>o que reforça a necessidade da adoção de</w:t>
      </w:r>
      <w:r w:rsidR="00F520B7">
        <w:rPr>
          <w:rFonts w:ascii="Times New Roman" w:hAnsi="Times New Roman" w:cs="Times New Roman"/>
          <w:sz w:val="24"/>
          <w:szCs w:val="24"/>
        </w:rPr>
        <w:t xml:space="preserve"> providências para a eliminação </w:t>
      </w:r>
      <w:r>
        <w:rPr>
          <w:rFonts w:ascii="Times New Roman" w:hAnsi="Times New Roman" w:cs="Times New Roman"/>
          <w:sz w:val="24"/>
          <w:szCs w:val="24"/>
        </w:rPr>
        <w:t>do problema.</w:t>
      </w:r>
    </w:p>
    <w:p w:rsidR="00B24ED7" w:rsidRDefault="00694BDE" w:rsidP="00790027">
      <w:pPr>
        <w:jc w:val="both"/>
        <w:rPr>
          <w:rFonts w:ascii="Times New Roman" w:hAnsi="Times New Roman" w:cs="Times New Roman"/>
          <w:sz w:val="24"/>
          <w:szCs w:val="24"/>
        </w:rPr>
      </w:pPr>
      <w:r>
        <w:rPr>
          <w:rFonts w:ascii="Times New Roman" w:hAnsi="Times New Roman" w:cs="Times New Roman"/>
          <w:sz w:val="24"/>
          <w:szCs w:val="24"/>
        </w:rPr>
        <w:t>Nesse sentido, o Q</w:t>
      </w:r>
      <w:r w:rsidR="00972E8A">
        <w:rPr>
          <w:rFonts w:ascii="Times New Roman" w:hAnsi="Times New Roman" w:cs="Times New Roman"/>
          <w:sz w:val="24"/>
          <w:szCs w:val="24"/>
        </w:rPr>
        <w:t>uadro 3</w:t>
      </w:r>
      <w:r w:rsidR="00B24ED7">
        <w:rPr>
          <w:rFonts w:ascii="Times New Roman" w:hAnsi="Times New Roman" w:cs="Times New Roman"/>
          <w:sz w:val="24"/>
          <w:szCs w:val="24"/>
        </w:rPr>
        <w:t xml:space="preserve"> - Baixo fator de potência, adiante apresentado, revela o custo adicional que a UFRPE </w:t>
      </w:r>
      <w:r w:rsidR="00456879">
        <w:rPr>
          <w:rFonts w:ascii="Times New Roman" w:hAnsi="Times New Roman" w:cs="Times New Roman"/>
          <w:sz w:val="24"/>
          <w:szCs w:val="24"/>
        </w:rPr>
        <w:t>despendeu</w:t>
      </w:r>
      <w:r w:rsidR="00B24ED7">
        <w:rPr>
          <w:rFonts w:ascii="Times New Roman" w:hAnsi="Times New Roman" w:cs="Times New Roman"/>
          <w:sz w:val="24"/>
          <w:szCs w:val="24"/>
        </w:rPr>
        <w:t xml:space="preserve"> no período de 12 meses. Portanto, ações de melhoria do fator de potência poderão diminuir ou extinguir os itens de Reativos Excedentes na conta de energia, sendo necessário para isso que esta IFES realize uma avaliação detalhada das condições atuais de suas instalações.</w:t>
      </w:r>
    </w:p>
    <w:p w:rsidR="003B35D9" w:rsidRDefault="00FF5FE9" w:rsidP="003B35D9">
      <w:pPr>
        <w:jc w:val="center"/>
        <w:rPr>
          <w:rFonts w:ascii="Times New Roman" w:hAnsi="Times New Roman" w:cs="Times New Roman"/>
          <w:sz w:val="24"/>
          <w:szCs w:val="24"/>
        </w:rPr>
      </w:pPr>
      <w:r>
        <w:rPr>
          <w:rFonts w:ascii="Calibri" w:eastAsia="Times New Roman" w:hAnsi="Calibri" w:cs="Times New Roman"/>
          <w:b/>
          <w:bCs/>
          <w:color w:val="000000"/>
          <w:lang w:eastAsia="pt-BR"/>
        </w:rPr>
        <w:lastRenderedPageBreak/>
        <w:t>Quadro 3</w:t>
      </w:r>
      <w:r w:rsidR="003B35D9" w:rsidRPr="00A679FE">
        <w:rPr>
          <w:rFonts w:ascii="Calibri" w:eastAsia="Times New Roman" w:hAnsi="Calibri" w:cs="Times New Roman"/>
          <w:b/>
          <w:bCs/>
          <w:color w:val="000000"/>
          <w:lang w:eastAsia="pt-BR"/>
        </w:rPr>
        <w:t xml:space="preserve"> - Baixo fator de potência</w:t>
      </w:r>
    </w:p>
    <w:tbl>
      <w:tblPr>
        <w:tblW w:w="9923" w:type="dxa"/>
        <w:tblInd w:w="-497" w:type="dxa"/>
        <w:tblLayout w:type="fixed"/>
        <w:tblCellMar>
          <w:left w:w="70" w:type="dxa"/>
          <w:right w:w="70" w:type="dxa"/>
        </w:tblCellMar>
        <w:tblLook w:val="04A0"/>
      </w:tblPr>
      <w:tblGrid>
        <w:gridCol w:w="709"/>
        <w:gridCol w:w="1134"/>
        <w:gridCol w:w="2977"/>
        <w:gridCol w:w="1392"/>
        <w:gridCol w:w="1240"/>
        <w:gridCol w:w="770"/>
        <w:gridCol w:w="1701"/>
      </w:tblGrid>
      <w:tr w:rsidR="00A679FE" w:rsidRPr="00A679FE" w:rsidTr="00A679FE">
        <w:trPr>
          <w:trHeight w:val="594"/>
        </w:trPr>
        <w:tc>
          <w:tcPr>
            <w:tcW w:w="9923" w:type="dxa"/>
            <w:gridSpan w:val="7"/>
            <w:tcBorders>
              <w:top w:val="nil"/>
              <w:left w:val="single" w:sz="8" w:space="0" w:color="AEAEAE"/>
              <w:bottom w:val="single" w:sz="8" w:space="0" w:color="AEAEAE"/>
              <w:right w:val="nil"/>
            </w:tcBorders>
            <w:shd w:val="clear" w:color="000000" w:fill="B7CFE8"/>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 xml:space="preserve">VALORES COBRADOS DEVIDO A BAIXO FATOR DE POTÊNCIA (Contratos com nível de tensão média/alta: 13800 V)                                                      </w:t>
            </w:r>
          </w:p>
        </w:tc>
      </w:tr>
      <w:tr w:rsidR="00A679FE" w:rsidRPr="00A679FE" w:rsidTr="00A679FE">
        <w:trPr>
          <w:trHeight w:val="645"/>
        </w:trPr>
        <w:tc>
          <w:tcPr>
            <w:tcW w:w="709" w:type="dxa"/>
            <w:vMerge w:val="restart"/>
            <w:tcBorders>
              <w:top w:val="nil"/>
              <w:left w:val="single" w:sz="8" w:space="0" w:color="AEAEAE"/>
              <w:bottom w:val="single" w:sz="8" w:space="0" w:color="AEAEAE"/>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Ordem</w:t>
            </w:r>
          </w:p>
        </w:tc>
        <w:tc>
          <w:tcPr>
            <w:tcW w:w="1134" w:type="dxa"/>
            <w:vMerge w:val="restart"/>
            <w:tcBorders>
              <w:top w:val="nil"/>
              <w:left w:val="single" w:sz="8" w:space="0" w:color="AEAEAE"/>
              <w:bottom w:val="single" w:sz="8" w:space="0" w:color="AEAEAE"/>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Conta Contrato</w:t>
            </w:r>
          </w:p>
        </w:tc>
        <w:tc>
          <w:tcPr>
            <w:tcW w:w="2977" w:type="dxa"/>
            <w:vMerge w:val="restart"/>
            <w:tcBorders>
              <w:top w:val="nil"/>
              <w:left w:val="single" w:sz="8" w:space="0" w:color="AEAEAE"/>
              <w:bottom w:val="single" w:sz="8" w:space="0" w:color="AEAEAE"/>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Denominação da Unidade</w:t>
            </w:r>
          </w:p>
        </w:tc>
        <w:tc>
          <w:tcPr>
            <w:tcW w:w="1392" w:type="dxa"/>
            <w:vMerge w:val="restart"/>
            <w:tcBorders>
              <w:top w:val="nil"/>
              <w:left w:val="single" w:sz="8" w:space="0" w:color="AEAEAE"/>
              <w:bottom w:val="single" w:sz="8" w:space="0" w:color="AEAEAE"/>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Bairro</w:t>
            </w:r>
          </w:p>
        </w:tc>
        <w:tc>
          <w:tcPr>
            <w:tcW w:w="1240" w:type="dxa"/>
            <w:vMerge w:val="restart"/>
            <w:tcBorders>
              <w:top w:val="nil"/>
              <w:left w:val="single" w:sz="8" w:space="0" w:color="AEAEAE"/>
              <w:bottom w:val="single" w:sz="8" w:space="0" w:color="AEAEAE"/>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proofErr w:type="spellStart"/>
            <w:r w:rsidRPr="00A679FE">
              <w:rPr>
                <w:rFonts w:ascii="Arial" w:eastAsia="Times New Roman" w:hAnsi="Arial" w:cs="Arial"/>
                <w:b/>
                <w:bCs/>
                <w:color w:val="000000"/>
                <w:sz w:val="16"/>
                <w:szCs w:val="16"/>
                <w:lang w:eastAsia="pt-BR"/>
              </w:rPr>
              <w:t>Municipio</w:t>
            </w:r>
            <w:proofErr w:type="spellEnd"/>
          </w:p>
        </w:tc>
        <w:tc>
          <w:tcPr>
            <w:tcW w:w="770" w:type="dxa"/>
            <w:vMerge w:val="restart"/>
            <w:tcBorders>
              <w:top w:val="nil"/>
              <w:left w:val="single" w:sz="8" w:space="0" w:color="AEAEAE"/>
              <w:bottom w:val="single" w:sz="8" w:space="0" w:color="AEAEAE"/>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Categ.</w:t>
            </w:r>
            <w:r>
              <w:rPr>
                <w:rFonts w:ascii="Arial" w:eastAsia="Times New Roman" w:hAnsi="Arial" w:cs="Arial"/>
                <w:b/>
                <w:bCs/>
                <w:color w:val="000000"/>
                <w:sz w:val="16"/>
                <w:szCs w:val="16"/>
                <w:lang w:eastAsia="pt-BR"/>
              </w:rPr>
              <w:t xml:space="preserve">  </w:t>
            </w:r>
            <w:r w:rsidRPr="00A679FE">
              <w:rPr>
                <w:rFonts w:ascii="Arial" w:eastAsia="Times New Roman" w:hAnsi="Arial" w:cs="Arial"/>
                <w:b/>
                <w:bCs/>
                <w:color w:val="000000"/>
                <w:sz w:val="16"/>
                <w:szCs w:val="16"/>
                <w:lang w:eastAsia="pt-BR"/>
              </w:rPr>
              <w:t>Tarifa</w:t>
            </w:r>
          </w:p>
        </w:tc>
        <w:tc>
          <w:tcPr>
            <w:tcW w:w="1701" w:type="dxa"/>
            <w:vMerge w:val="restart"/>
            <w:tcBorders>
              <w:top w:val="nil"/>
              <w:left w:val="single" w:sz="8" w:space="0" w:color="AEAEAE"/>
              <w:bottom w:val="nil"/>
              <w:right w:val="nil"/>
            </w:tcBorders>
            <w:shd w:val="clear" w:color="000000" w:fill="B7CFE8"/>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CUSTO ADICIONAL       -&gt;BAIXO FATOR DE POTÊNCIA** (R$)                      (10/2015 - 09/2016)</w:t>
            </w:r>
          </w:p>
        </w:tc>
      </w:tr>
      <w:tr w:rsidR="00A679FE" w:rsidRPr="00A679FE" w:rsidTr="00A679FE">
        <w:trPr>
          <w:trHeight w:val="184"/>
        </w:trPr>
        <w:tc>
          <w:tcPr>
            <w:tcW w:w="709" w:type="dxa"/>
            <w:vMerge/>
            <w:tcBorders>
              <w:top w:val="nil"/>
              <w:left w:val="single" w:sz="8" w:space="0" w:color="AEAEAE"/>
              <w:bottom w:val="single" w:sz="8" w:space="0" w:color="AEAEAE"/>
              <w:right w:val="single" w:sz="8" w:space="0" w:color="AEAEAE"/>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c>
          <w:tcPr>
            <w:tcW w:w="1134" w:type="dxa"/>
            <w:vMerge/>
            <w:tcBorders>
              <w:top w:val="nil"/>
              <w:left w:val="single" w:sz="8" w:space="0" w:color="AEAEAE"/>
              <w:bottom w:val="single" w:sz="8" w:space="0" w:color="AEAEAE"/>
              <w:right w:val="single" w:sz="8" w:space="0" w:color="AEAEAE"/>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c>
          <w:tcPr>
            <w:tcW w:w="2977" w:type="dxa"/>
            <w:vMerge/>
            <w:tcBorders>
              <w:top w:val="nil"/>
              <w:left w:val="single" w:sz="8" w:space="0" w:color="AEAEAE"/>
              <w:bottom w:val="single" w:sz="8" w:space="0" w:color="AEAEAE"/>
              <w:right w:val="single" w:sz="8" w:space="0" w:color="AEAEAE"/>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c>
          <w:tcPr>
            <w:tcW w:w="1392" w:type="dxa"/>
            <w:vMerge/>
            <w:tcBorders>
              <w:top w:val="nil"/>
              <w:left w:val="single" w:sz="8" w:space="0" w:color="AEAEAE"/>
              <w:bottom w:val="single" w:sz="8" w:space="0" w:color="AEAEAE"/>
              <w:right w:val="single" w:sz="8" w:space="0" w:color="AEAEAE"/>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c>
          <w:tcPr>
            <w:tcW w:w="1240" w:type="dxa"/>
            <w:vMerge/>
            <w:tcBorders>
              <w:top w:val="nil"/>
              <w:left w:val="single" w:sz="8" w:space="0" w:color="AEAEAE"/>
              <w:bottom w:val="single" w:sz="8" w:space="0" w:color="AEAEAE"/>
              <w:right w:val="single" w:sz="8" w:space="0" w:color="AEAEAE"/>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c>
          <w:tcPr>
            <w:tcW w:w="770" w:type="dxa"/>
            <w:vMerge/>
            <w:tcBorders>
              <w:top w:val="nil"/>
              <w:left w:val="single" w:sz="8" w:space="0" w:color="AEAEAE"/>
              <w:bottom w:val="single" w:sz="8" w:space="0" w:color="AEAEAE"/>
              <w:right w:val="single" w:sz="8" w:space="0" w:color="AEAEAE"/>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c>
          <w:tcPr>
            <w:tcW w:w="1701" w:type="dxa"/>
            <w:vMerge/>
            <w:tcBorders>
              <w:top w:val="nil"/>
              <w:left w:val="single" w:sz="8" w:space="0" w:color="AEAEAE"/>
              <w:bottom w:val="nil"/>
              <w:right w:val="nil"/>
            </w:tcBorders>
            <w:vAlign w:val="center"/>
            <w:hideMark/>
          </w:tcPr>
          <w:p w:rsidR="00A679FE" w:rsidRPr="00A679FE" w:rsidRDefault="00A679FE" w:rsidP="00A679FE">
            <w:pPr>
              <w:spacing w:after="0" w:line="240" w:lineRule="auto"/>
              <w:rPr>
                <w:rFonts w:ascii="Arial" w:eastAsia="Times New Roman" w:hAnsi="Arial" w:cs="Arial"/>
                <w:b/>
                <w:bCs/>
                <w:color w:val="000000"/>
                <w:sz w:val="16"/>
                <w:szCs w:val="16"/>
                <w:lang w:eastAsia="pt-BR"/>
              </w:rPr>
            </w:pP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1000892013</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NAPS</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4.970,25</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1225351011</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 xml:space="preserve">Ecologia - </w:t>
            </w:r>
            <w:proofErr w:type="spellStart"/>
            <w:r w:rsidRPr="00A679FE">
              <w:rPr>
                <w:rFonts w:ascii="Arial" w:eastAsia="Times New Roman" w:hAnsi="Arial" w:cs="Arial"/>
                <w:color w:val="000000"/>
                <w:sz w:val="16"/>
                <w:szCs w:val="16"/>
                <w:lang w:eastAsia="pt-BR"/>
              </w:rPr>
              <w:t>Lanagro</w:t>
            </w:r>
            <w:proofErr w:type="spellEnd"/>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189,66</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3</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1305909013</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proofErr w:type="spellStart"/>
            <w:r w:rsidRPr="00A679FE">
              <w:rPr>
                <w:rFonts w:ascii="Arial" w:eastAsia="Times New Roman" w:hAnsi="Arial" w:cs="Arial"/>
                <w:color w:val="000000"/>
                <w:sz w:val="16"/>
                <w:szCs w:val="16"/>
                <w:lang w:eastAsia="pt-BR"/>
              </w:rPr>
              <w:t>Lab.Fert.Solo</w:t>
            </w:r>
            <w:proofErr w:type="spellEnd"/>
            <w:r w:rsidRPr="00A679FE">
              <w:rPr>
                <w:rFonts w:ascii="Arial" w:eastAsia="Times New Roman" w:hAnsi="Arial" w:cs="Arial"/>
                <w:color w:val="000000"/>
                <w:sz w:val="16"/>
                <w:szCs w:val="16"/>
                <w:lang w:eastAsia="pt-BR"/>
              </w:rPr>
              <w:t xml:space="preserve"> - MESA FARTA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414,55</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1326449020</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 </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BOA VISTA</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GARANHUNS</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A46_CV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2.200,96</w:t>
            </w:r>
          </w:p>
        </w:tc>
      </w:tr>
      <w:tr w:rsidR="00A679FE" w:rsidRPr="00A679FE" w:rsidTr="00A679FE">
        <w:trPr>
          <w:trHeight w:val="540"/>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5</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1336238010</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 xml:space="preserve">Unidade </w:t>
            </w:r>
            <w:proofErr w:type="spellStart"/>
            <w:r w:rsidRPr="00A679FE">
              <w:rPr>
                <w:rFonts w:ascii="Arial" w:eastAsia="Times New Roman" w:hAnsi="Arial" w:cs="Arial"/>
                <w:color w:val="000000"/>
                <w:sz w:val="16"/>
                <w:szCs w:val="16"/>
                <w:lang w:eastAsia="pt-BR"/>
              </w:rPr>
              <w:t>Academica</w:t>
            </w:r>
            <w:proofErr w:type="spellEnd"/>
            <w:r w:rsidRPr="00A679FE">
              <w:rPr>
                <w:rFonts w:ascii="Arial" w:eastAsia="Times New Roman" w:hAnsi="Arial" w:cs="Arial"/>
                <w:color w:val="000000"/>
                <w:sz w:val="16"/>
                <w:szCs w:val="16"/>
                <w:lang w:eastAsia="pt-BR"/>
              </w:rPr>
              <w:t xml:space="preserve"> Serra Talhada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SACO</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SERRA TALHADA</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13.867,71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6</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1506905016</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Depto Zootecnia SE 01 PÓS</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1.797,98</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2079291016</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Biologia Genoma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1.284,11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8</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2079296018</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proofErr w:type="spellStart"/>
            <w:r w:rsidRPr="00A679FE">
              <w:rPr>
                <w:rFonts w:ascii="Arial" w:eastAsia="Times New Roman" w:hAnsi="Arial" w:cs="Arial"/>
                <w:color w:val="000000"/>
                <w:sz w:val="16"/>
                <w:szCs w:val="16"/>
                <w:lang w:eastAsia="pt-BR"/>
              </w:rPr>
              <w:t>Depto.</w:t>
            </w:r>
            <w:proofErr w:type="spellEnd"/>
            <w:r w:rsidRPr="00A679FE">
              <w:rPr>
                <w:rFonts w:ascii="Arial" w:eastAsia="Times New Roman" w:hAnsi="Arial" w:cs="Arial"/>
                <w:color w:val="000000"/>
                <w:sz w:val="16"/>
                <w:szCs w:val="16"/>
                <w:lang w:eastAsia="pt-BR"/>
              </w:rPr>
              <w:t>Veterinária 01 - CURRAL</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1.913,15</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2585139010</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CEGOE</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106,57</w:t>
            </w:r>
          </w:p>
        </w:tc>
      </w:tr>
      <w:tr w:rsidR="00A679FE" w:rsidRPr="00A679FE" w:rsidTr="00A679FE">
        <w:trPr>
          <w:trHeight w:val="690"/>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10</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2678995013</w:t>
            </w:r>
            <w:r w:rsidRPr="00A679FE">
              <w:rPr>
                <w:rFonts w:ascii="Arial" w:eastAsia="Times New Roman" w:hAnsi="Arial" w:cs="Arial"/>
                <w:b/>
                <w:bCs/>
                <w:color w:val="000000"/>
                <w:sz w:val="16"/>
                <w:szCs w:val="16"/>
                <w:lang w:eastAsia="pt-BR"/>
              </w:rPr>
              <w:t>*</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UFRPE CODAI</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TIUMA</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SAO LOURENCO DA MATA</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105,36</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11</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4002176942</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proofErr w:type="spellStart"/>
            <w:r w:rsidRPr="00A679FE">
              <w:rPr>
                <w:rFonts w:ascii="Arial" w:eastAsia="Times New Roman" w:hAnsi="Arial" w:cs="Arial"/>
                <w:color w:val="000000"/>
                <w:sz w:val="16"/>
                <w:szCs w:val="16"/>
                <w:lang w:eastAsia="pt-BR"/>
              </w:rPr>
              <w:t>Depto.</w:t>
            </w:r>
            <w:proofErr w:type="spellEnd"/>
            <w:r w:rsidRPr="00A679FE">
              <w:rPr>
                <w:rFonts w:ascii="Arial" w:eastAsia="Times New Roman" w:hAnsi="Arial" w:cs="Arial"/>
                <w:color w:val="000000"/>
                <w:sz w:val="16"/>
                <w:szCs w:val="16"/>
                <w:lang w:eastAsia="pt-BR"/>
              </w:rPr>
              <w:t>Zootecnia Lab.Leite</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234,72</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12</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4007640124</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REDE MÉDIA TENSÃO CENASPESQ</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24.211,22</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13</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4007815404</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proofErr w:type="spellStart"/>
            <w:r w:rsidRPr="00A679FE">
              <w:rPr>
                <w:rFonts w:ascii="Arial" w:eastAsia="Times New Roman" w:hAnsi="Arial" w:cs="Arial"/>
                <w:color w:val="000000"/>
                <w:sz w:val="16"/>
                <w:szCs w:val="16"/>
                <w:lang w:eastAsia="pt-BR"/>
              </w:rPr>
              <w:t>Depto.</w:t>
            </w:r>
            <w:proofErr w:type="spellEnd"/>
            <w:r w:rsidRPr="00A679FE">
              <w:rPr>
                <w:rFonts w:ascii="Arial" w:eastAsia="Times New Roman" w:hAnsi="Arial" w:cs="Arial"/>
                <w:color w:val="000000"/>
                <w:sz w:val="16"/>
                <w:szCs w:val="16"/>
                <w:lang w:eastAsia="pt-BR"/>
              </w:rPr>
              <w:t>Zootecnia SE 02 - AULAS</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1.952,04</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14</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4012510050</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UFRPE</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GARANHUNS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GARANHUNS</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13.119,71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15</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7000088921</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RU</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675,21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16</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7001371759</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DTR - MECANIZAÇÃO AGRÍCOLA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9,48</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17</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7004503923</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Botânica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1.418,54</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18</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7007557145</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CEGEN</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19</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7013354388</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Prédio Novo de Biologia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12,17</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20</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927606011</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Química Agrícola</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332,94</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21</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927611015</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DCFL</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3.139,02</w:t>
            </w:r>
          </w:p>
        </w:tc>
      </w:tr>
      <w:tr w:rsidR="00A679FE" w:rsidRPr="00A679FE" w:rsidTr="00A679FE">
        <w:trPr>
          <w:trHeight w:val="49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22</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927617013</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proofErr w:type="spellStart"/>
            <w:r w:rsidRPr="00A679FE">
              <w:rPr>
                <w:rFonts w:ascii="Arial" w:eastAsia="Times New Roman" w:hAnsi="Arial" w:cs="Arial"/>
                <w:color w:val="000000"/>
                <w:sz w:val="16"/>
                <w:szCs w:val="16"/>
                <w:lang w:eastAsia="pt-BR"/>
              </w:rPr>
              <w:t>Depto.</w:t>
            </w:r>
            <w:proofErr w:type="spellEnd"/>
            <w:r w:rsidRPr="00A679FE">
              <w:rPr>
                <w:rFonts w:ascii="Arial" w:eastAsia="Times New Roman" w:hAnsi="Arial" w:cs="Arial"/>
                <w:color w:val="000000"/>
                <w:sz w:val="16"/>
                <w:szCs w:val="16"/>
                <w:lang w:eastAsia="pt-BR"/>
              </w:rPr>
              <w:t>Veterinária 02-ESTACIONAMENTO</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2.169,00</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23</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927618010</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Apoio Administrativo</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1.057,91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24</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927620014</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DEPAQ - DCD - FADURPE</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980,48</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25</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927623013</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Otávio Gomes - FITOSSANIDADE</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378,31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26</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927625016</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Prédio Central</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DOIS IRMAOS</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RECIFE</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7.917,01</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27</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935307015</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 </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SAO JOSE</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CARPINA</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2.211,14</w:t>
            </w:r>
          </w:p>
        </w:tc>
      </w:tr>
      <w:tr w:rsidR="00A679FE" w:rsidRPr="00A679FE" w:rsidTr="00A679FE">
        <w:trPr>
          <w:trHeight w:val="315"/>
        </w:trPr>
        <w:tc>
          <w:tcPr>
            <w:tcW w:w="709" w:type="dxa"/>
            <w:tcBorders>
              <w:top w:val="nil"/>
              <w:left w:val="single" w:sz="8" w:space="0" w:color="AEAEAE"/>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28</w:t>
            </w:r>
          </w:p>
        </w:tc>
        <w:tc>
          <w:tcPr>
            <w:tcW w:w="1134"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935328020</w:t>
            </w:r>
          </w:p>
        </w:tc>
        <w:tc>
          <w:tcPr>
            <w:tcW w:w="2977"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 </w:t>
            </w:r>
          </w:p>
        </w:tc>
        <w:tc>
          <w:tcPr>
            <w:tcW w:w="1392"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STA CRUZ</w:t>
            </w:r>
          </w:p>
        </w:tc>
        <w:tc>
          <w:tcPr>
            <w:tcW w:w="124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CARPINA</w:t>
            </w:r>
          </w:p>
        </w:tc>
        <w:tc>
          <w:tcPr>
            <w:tcW w:w="770" w:type="dxa"/>
            <w:tcBorders>
              <w:top w:val="nil"/>
              <w:left w:val="nil"/>
              <w:bottom w:val="single" w:sz="8" w:space="0" w:color="AEAEAE"/>
              <w:right w:val="single" w:sz="8" w:space="0" w:color="AEAEAE"/>
            </w:tcBorders>
            <w:shd w:val="clear" w:color="auto" w:fill="auto"/>
            <w:vAlign w:val="center"/>
            <w:hideMark/>
          </w:tcPr>
          <w:p w:rsidR="00A679FE" w:rsidRPr="00A679FE" w:rsidRDefault="00A679FE" w:rsidP="00A679FE">
            <w:pPr>
              <w:spacing w:after="0" w:line="240" w:lineRule="auto"/>
              <w:jc w:val="center"/>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A45_HV</w:t>
            </w:r>
          </w:p>
        </w:tc>
        <w:tc>
          <w:tcPr>
            <w:tcW w:w="1701" w:type="dxa"/>
            <w:tcBorders>
              <w:top w:val="nil"/>
              <w:left w:val="nil"/>
              <w:bottom w:val="nil"/>
              <w:right w:val="single" w:sz="8" w:space="0" w:color="AEAEAE"/>
            </w:tcBorders>
            <w:shd w:val="clear" w:color="auto" w:fill="auto"/>
            <w:vAlign w:val="center"/>
            <w:hideMark/>
          </w:tcPr>
          <w:p w:rsidR="00A679FE" w:rsidRPr="00A679FE" w:rsidRDefault="00A679FE" w:rsidP="00A679FE">
            <w:pPr>
              <w:spacing w:after="0" w:line="240" w:lineRule="auto"/>
              <w:jc w:val="right"/>
              <w:rPr>
                <w:rFonts w:ascii="Arial" w:eastAsia="Times New Roman" w:hAnsi="Arial" w:cs="Arial"/>
                <w:color w:val="000000"/>
                <w:sz w:val="16"/>
                <w:szCs w:val="16"/>
                <w:lang w:eastAsia="pt-BR"/>
              </w:rPr>
            </w:pPr>
            <w:r w:rsidRPr="00A679FE">
              <w:rPr>
                <w:rFonts w:ascii="Arial" w:eastAsia="Times New Roman" w:hAnsi="Arial" w:cs="Arial"/>
                <w:color w:val="000000"/>
                <w:sz w:val="16"/>
                <w:szCs w:val="16"/>
                <w:lang w:eastAsia="pt-BR"/>
              </w:rPr>
              <w:t>17.661,92</w:t>
            </w:r>
          </w:p>
        </w:tc>
      </w:tr>
      <w:tr w:rsidR="00A679FE" w:rsidRPr="00A679FE" w:rsidTr="008948A5">
        <w:trPr>
          <w:trHeight w:val="160"/>
        </w:trPr>
        <w:tc>
          <w:tcPr>
            <w:tcW w:w="8222" w:type="dxa"/>
            <w:gridSpan w:val="6"/>
            <w:tcBorders>
              <w:top w:val="single" w:sz="8" w:space="0" w:color="AEAEAE"/>
              <w:left w:val="single" w:sz="8" w:space="0" w:color="AEAEAE"/>
              <w:bottom w:val="nil"/>
              <w:right w:val="single" w:sz="8" w:space="0" w:color="AEAEAE"/>
            </w:tcBorders>
            <w:shd w:val="clear" w:color="000000" w:fill="C6C4C4"/>
            <w:vAlign w:val="center"/>
            <w:hideMark/>
          </w:tcPr>
          <w:p w:rsidR="00A679FE" w:rsidRPr="00A679FE" w:rsidRDefault="00A679FE" w:rsidP="00A679FE">
            <w:pPr>
              <w:spacing w:after="0" w:line="240" w:lineRule="auto"/>
              <w:jc w:val="center"/>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TOTAL</w:t>
            </w:r>
          </w:p>
        </w:tc>
        <w:tc>
          <w:tcPr>
            <w:tcW w:w="1701"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A679FE" w:rsidRPr="00A679FE" w:rsidRDefault="00A679FE" w:rsidP="00A679FE">
            <w:pPr>
              <w:spacing w:after="0" w:line="240" w:lineRule="auto"/>
              <w:jc w:val="right"/>
              <w:rPr>
                <w:rFonts w:ascii="Arial" w:eastAsia="Times New Roman" w:hAnsi="Arial" w:cs="Arial"/>
                <w:b/>
                <w:bCs/>
                <w:color w:val="000000"/>
                <w:sz w:val="16"/>
                <w:szCs w:val="16"/>
                <w:lang w:eastAsia="pt-BR"/>
              </w:rPr>
            </w:pPr>
            <w:r w:rsidRPr="00A679FE">
              <w:rPr>
                <w:rFonts w:ascii="Arial" w:eastAsia="Times New Roman" w:hAnsi="Arial" w:cs="Arial"/>
                <w:b/>
                <w:bCs/>
                <w:color w:val="000000"/>
                <w:sz w:val="16"/>
                <w:szCs w:val="16"/>
                <w:lang w:eastAsia="pt-BR"/>
              </w:rPr>
              <w:t>104.331,12</w:t>
            </w:r>
          </w:p>
        </w:tc>
      </w:tr>
      <w:tr w:rsidR="00A679FE" w:rsidRPr="00A679FE" w:rsidTr="00BF35F6">
        <w:trPr>
          <w:trHeight w:val="90"/>
        </w:trPr>
        <w:tc>
          <w:tcPr>
            <w:tcW w:w="9923" w:type="dxa"/>
            <w:gridSpan w:val="7"/>
            <w:tcBorders>
              <w:top w:val="single" w:sz="8" w:space="0" w:color="AEAEAE"/>
              <w:left w:val="nil"/>
              <w:bottom w:val="nil"/>
              <w:right w:val="nil"/>
            </w:tcBorders>
            <w:shd w:val="clear" w:color="auto" w:fill="auto"/>
            <w:noWrap/>
            <w:vAlign w:val="center"/>
            <w:hideMark/>
          </w:tcPr>
          <w:p w:rsidR="00A679FE" w:rsidRPr="00A679FE" w:rsidRDefault="00A679FE" w:rsidP="00A679FE">
            <w:pPr>
              <w:spacing w:after="0" w:line="240" w:lineRule="auto"/>
              <w:rPr>
                <w:rFonts w:ascii="Calibri" w:eastAsia="Times New Roman" w:hAnsi="Calibri" w:cs="Times New Roman"/>
                <w:color w:val="000000"/>
                <w:sz w:val="16"/>
                <w:szCs w:val="16"/>
                <w:lang w:eastAsia="pt-BR"/>
              </w:rPr>
            </w:pPr>
            <w:r w:rsidRPr="00A679FE">
              <w:rPr>
                <w:rFonts w:ascii="Calibri" w:eastAsia="Times New Roman" w:hAnsi="Calibri" w:cs="Times New Roman"/>
                <w:b/>
                <w:bCs/>
                <w:color w:val="000000"/>
                <w:sz w:val="16"/>
                <w:szCs w:val="16"/>
                <w:lang w:eastAsia="pt-BR"/>
              </w:rPr>
              <w:t>*</w:t>
            </w:r>
            <w:r w:rsidRPr="00A679FE">
              <w:rPr>
                <w:rFonts w:ascii="Calibri" w:eastAsia="Times New Roman" w:hAnsi="Calibri" w:cs="Times New Roman"/>
                <w:color w:val="000000"/>
                <w:sz w:val="16"/>
                <w:szCs w:val="16"/>
                <w:lang w:eastAsia="pt-BR"/>
              </w:rPr>
              <w:t xml:space="preserve"> Período analisado para esse contrato: 04/2016 - 09/2016.</w:t>
            </w:r>
          </w:p>
          <w:p w:rsidR="00A679FE" w:rsidRPr="00A679FE" w:rsidRDefault="00A679FE" w:rsidP="00A679FE">
            <w:pPr>
              <w:spacing w:after="0" w:line="240" w:lineRule="auto"/>
              <w:rPr>
                <w:rFonts w:ascii="Calibri" w:eastAsia="Times New Roman" w:hAnsi="Calibri" w:cs="Times New Roman"/>
                <w:color w:val="000000"/>
                <w:spacing w:val="-14"/>
                <w:sz w:val="16"/>
                <w:szCs w:val="16"/>
                <w:lang w:eastAsia="pt-BR"/>
              </w:rPr>
            </w:pPr>
            <w:r w:rsidRPr="00A679FE">
              <w:rPr>
                <w:rFonts w:ascii="Calibri" w:eastAsia="Times New Roman" w:hAnsi="Calibri" w:cs="Times New Roman"/>
                <w:b/>
                <w:color w:val="000000"/>
                <w:sz w:val="16"/>
                <w:szCs w:val="16"/>
                <w:lang w:eastAsia="pt-BR"/>
              </w:rPr>
              <w:t xml:space="preserve">** </w:t>
            </w:r>
            <w:r w:rsidRPr="00A679FE">
              <w:rPr>
                <w:rFonts w:ascii="Calibri" w:eastAsia="Times New Roman" w:hAnsi="Calibri" w:cs="Times New Roman"/>
                <w:color w:val="000000"/>
                <w:sz w:val="16"/>
                <w:szCs w:val="16"/>
                <w:lang w:eastAsia="pt-BR"/>
              </w:rPr>
              <w:t>Esse custo adicional ocorre quando o fator de potência está abaixo de 0,92 (limite estabelecido pela ANEEL), ac</w:t>
            </w:r>
            <w:r>
              <w:rPr>
                <w:rFonts w:ascii="Calibri" w:eastAsia="Times New Roman" w:hAnsi="Calibri" w:cs="Times New Roman"/>
                <w:color w:val="000000"/>
                <w:sz w:val="16"/>
                <w:szCs w:val="16"/>
                <w:lang w:eastAsia="pt-BR"/>
              </w:rPr>
              <w:t xml:space="preserve">arretando valores cobrados como </w:t>
            </w:r>
            <w:r w:rsidRPr="00A679FE">
              <w:rPr>
                <w:rFonts w:ascii="Calibri" w:eastAsia="Times New Roman" w:hAnsi="Calibri" w:cs="Times New Roman"/>
                <w:color w:val="000000"/>
                <w:sz w:val="16"/>
                <w:szCs w:val="16"/>
                <w:lang w:eastAsia="pt-BR"/>
              </w:rPr>
              <w:t>Demanda/Consumo Reativo Excedente.</w:t>
            </w:r>
          </w:p>
        </w:tc>
      </w:tr>
    </w:tbl>
    <w:p w:rsidR="00623AD1" w:rsidRDefault="00623AD1" w:rsidP="0007417B">
      <w:pPr>
        <w:jc w:val="both"/>
        <w:rPr>
          <w:rFonts w:ascii="Times New Roman" w:hAnsi="Times New Roman" w:cs="Times New Roman"/>
          <w:b/>
          <w:sz w:val="24"/>
          <w:szCs w:val="24"/>
        </w:rPr>
      </w:pPr>
    </w:p>
    <w:p w:rsidR="00373C1A" w:rsidRDefault="003B35D9" w:rsidP="0007417B">
      <w:pPr>
        <w:jc w:val="both"/>
        <w:rPr>
          <w:rFonts w:ascii="Times New Roman" w:hAnsi="Times New Roman" w:cs="Times New Roman"/>
          <w:b/>
          <w:sz w:val="24"/>
          <w:szCs w:val="24"/>
        </w:rPr>
      </w:pPr>
      <w:r w:rsidRPr="003B35D9">
        <w:rPr>
          <w:rFonts w:ascii="Times New Roman" w:hAnsi="Times New Roman" w:cs="Times New Roman"/>
          <w:b/>
          <w:sz w:val="24"/>
          <w:szCs w:val="24"/>
        </w:rPr>
        <w:t>3º) Análise da adequação do enquadramento tarifário</w:t>
      </w:r>
    </w:p>
    <w:p w:rsidR="0043742D" w:rsidRDefault="00DA6DCF" w:rsidP="0007417B">
      <w:pPr>
        <w:jc w:val="both"/>
        <w:rPr>
          <w:rFonts w:ascii="Times New Roman" w:hAnsi="Times New Roman" w:cs="Times New Roman"/>
          <w:i/>
          <w:sz w:val="24"/>
          <w:szCs w:val="24"/>
        </w:rPr>
      </w:pPr>
      <w:r>
        <w:rPr>
          <w:rFonts w:ascii="Times New Roman" w:hAnsi="Times New Roman" w:cs="Times New Roman"/>
          <w:sz w:val="24"/>
          <w:szCs w:val="24"/>
        </w:rPr>
        <w:t>Iniciaremos este tópico trazendo uma definição apresentada pela CELPE do que vem a ser estrutura tar</w:t>
      </w:r>
      <w:r w:rsidR="00AC3870">
        <w:rPr>
          <w:rFonts w:ascii="Times New Roman" w:hAnsi="Times New Roman" w:cs="Times New Roman"/>
          <w:sz w:val="24"/>
          <w:szCs w:val="24"/>
        </w:rPr>
        <w:t>ifária ou modalidade tarifária:</w:t>
      </w:r>
      <w:r>
        <w:rPr>
          <w:rFonts w:ascii="Times New Roman" w:hAnsi="Times New Roman" w:cs="Times New Roman"/>
          <w:sz w:val="24"/>
          <w:szCs w:val="24"/>
        </w:rPr>
        <w:t xml:space="preserve"> </w:t>
      </w:r>
      <w:r w:rsidR="00AC3870">
        <w:rPr>
          <w:rFonts w:ascii="Times New Roman" w:hAnsi="Times New Roman" w:cs="Times New Roman"/>
          <w:i/>
          <w:sz w:val="24"/>
          <w:szCs w:val="24"/>
        </w:rPr>
        <w:t>é</w:t>
      </w:r>
      <w:r w:rsidRPr="00DA6DCF">
        <w:rPr>
          <w:rFonts w:ascii="Times New Roman" w:hAnsi="Times New Roman" w:cs="Times New Roman"/>
          <w:i/>
          <w:sz w:val="24"/>
          <w:szCs w:val="24"/>
        </w:rPr>
        <w:t xml:space="preserve"> o conjunto de tarifas aplicadas </w:t>
      </w:r>
      <w:r w:rsidR="00AC3870">
        <w:rPr>
          <w:rFonts w:ascii="Times New Roman" w:hAnsi="Times New Roman" w:cs="Times New Roman"/>
          <w:i/>
          <w:sz w:val="24"/>
          <w:szCs w:val="24"/>
        </w:rPr>
        <w:t>à Demanda (kW) e ao Consumo(kWh), considerando os segmentos horários de Ponta</w:t>
      </w:r>
      <w:r w:rsidR="0043742D">
        <w:rPr>
          <w:rFonts w:ascii="Times New Roman" w:hAnsi="Times New Roman" w:cs="Times New Roman"/>
          <w:i/>
          <w:sz w:val="24"/>
          <w:szCs w:val="24"/>
        </w:rPr>
        <w:t xml:space="preserve"> </w:t>
      </w:r>
      <w:r w:rsidR="00AC3870">
        <w:rPr>
          <w:rFonts w:ascii="Times New Roman" w:hAnsi="Times New Roman" w:cs="Times New Roman"/>
          <w:i/>
          <w:sz w:val="24"/>
          <w:szCs w:val="24"/>
        </w:rPr>
        <w:t>(</w:t>
      </w:r>
      <w:r w:rsidR="0043742D">
        <w:rPr>
          <w:rFonts w:ascii="Times New Roman" w:hAnsi="Times New Roman" w:cs="Times New Roman"/>
          <w:i/>
          <w:sz w:val="24"/>
          <w:szCs w:val="24"/>
        </w:rPr>
        <w:t xml:space="preserve">somente </w:t>
      </w:r>
      <w:r w:rsidR="00AC3870">
        <w:rPr>
          <w:rFonts w:ascii="Times New Roman" w:hAnsi="Times New Roman" w:cs="Times New Roman"/>
          <w:i/>
          <w:sz w:val="24"/>
          <w:szCs w:val="24"/>
        </w:rPr>
        <w:t>dias úteis: 17</w:t>
      </w:r>
      <w:r w:rsidR="0043742D">
        <w:rPr>
          <w:rFonts w:ascii="Times New Roman" w:hAnsi="Times New Roman" w:cs="Times New Roman"/>
          <w:i/>
          <w:sz w:val="24"/>
          <w:szCs w:val="24"/>
        </w:rPr>
        <w:t>h</w:t>
      </w:r>
      <w:r w:rsidR="00AC3870">
        <w:rPr>
          <w:rFonts w:ascii="Times New Roman" w:hAnsi="Times New Roman" w:cs="Times New Roman"/>
          <w:i/>
          <w:sz w:val="24"/>
          <w:szCs w:val="24"/>
        </w:rPr>
        <w:t>30</w:t>
      </w:r>
      <w:r w:rsidR="0043742D">
        <w:rPr>
          <w:rFonts w:ascii="Times New Roman" w:hAnsi="Times New Roman" w:cs="Times New Roman"/>
          <w:i/>
          <w:sz w:val="24"/>
          <w:szCs w:val="24"/>
        </w:rPr>
        <w:t>min a 20h30min)</w:t>
      </w:r>
      <w:r w:rsidR="00AC3870">
        <w:rPr>
          <w:rFonts w:ascii="Times New Roman" w:hAnsi="Times New Roman" w:cs="Times New Roman"/>
          <w:i/>
          <w:sz w:val="24"/>
          <w:szCs w:val="24"/>
        </w:rPr>
        <w:t xml:space="preserve"> e Fora de Ponta</w:t>
      </w:r>
      <w:r w:rsidR="0043742D">
        <w:rPr>
          <w:rFonts w:ascii="Times New Roman" w:hAnsi="Times New Roman" w:cs="Times New Roman"/>
          <w:i/>
          <w:sz w:val="24"/>
          <w:szCs w:val="24"/>
        </w:rPr>
        <w:t xml:space="preserve"> (sábados, domingos e feriados nacionais).</w:t>
      </w:r>
      <w:r w:rsidR="00337F91">
        <w:rPr>
          <w:rFonts w:ascii="Times New Roman" w:hAnsi="Times New Roman" w:cs="Times New Roman"/>
          <w:i/>
          <w:sz w:val="24"/>
          <w:szCs w:val="24"/>
        </w:rPr>
        <w:t xml:space="preserve"> </w:t>
      </w:r>
      <w:r w:rsidR="00337F91" w:rsidRPr="00337F91">
        <w:rPr>
          <w:rFonts w:ascii="Times New Roman" w:hAnsi="Times New Roman" w:cs="Times New Roman"/>
          <w:sz w:val="24"/>
          <w:szCs w:val="24"/>
        </w:rPr>
        <w:t>As tarifas variam conforme a opção contratual firmada entre o órgão e a concessionária de energia elétrica.</w:t>
      </w:r>
    </w:p>
    <w:p w:rsidR="003B35D9" w:rsidRDefault="00B14A83" w:rsidP="0007417B">
      <w:pPr>
        <w:jc w:val="both"/>
        <w:rPr>
          <w:rFonts w:ascii="Times New Roman" w:hAnsi="Times New Roman" w:cs="Times New Roman"/>
          <w:sz w:val="24"/>
          <w:szCs w:val="24"/>
        </w:rPr>
      </w:pPr>
      <w:r>
        <w:rPr>
          <w:rFonts w:ascii="Times New Roman" w:hAnsi="Times New Roman" w:cs="Times New Roman"/>
          <w:sz w:val="24"/>
          <w:szCs w:val="24"/>
        </w:rPr>
        <w:t xml:space="preserve">Para entendermos melhor esse conceito, é importante </w:t>
      </w:r>
      <w:r w:rsidR="00444214">
        <w:rPr>
          <w:rFonts w:ascii="Times New Roman" w:hAnsi="Times New Roman" w:cs="Times New Roman"/>
          <w:sz w:val="24"/>
          <w:szCs w:val="24"/>
        </w:rPr>
        <w:t xml:space="preserve">diferenciar </w:t>
      </w:r>
      <w:r>
        <w:rPr>
          <w:rFonts w:ascii="Times New Roman" w:hAnsi="Times New Roman" w:cs="Times New Roman"/>
          <w:sz w:val="24"/>
          <w:szCs w:val="24"/>
        </w:rPr>
        <w:t xml:space="preserve">demanda </w:t>
      </w:r>
      <w:r w:rsidR="00444214">
        <w:rPr>
          <w:rFonts w:ascii="Times New Roman" w:hAnsi="Times New Roman" w:cs="Times New Roman"/>
          <w:sz w:val="24"/>
          <w:szCs w:val="24"/>
        </w:rPr>
        <w:t>d</w:t>
      </w:r>
      <w:r>
        <w:rPr>
          <w:rFonts w:ascii="Times New Roman" w:hAnsi="Times New Roman" w:cs="Times New Roman"/>
          <w:sz w:val="24"/>
          <w:szCs w:val="24"/>
        </w:rPr>
        <w:t>e consumo. A demanda (kW), como já mencionado anteriormente, é a soma das potências (kW) de todos os equipamentos ligados em um dado momento, com a medição realizada a cada 15 minutos, durante o ciclo mensal de leitura. O valor máximo registrado nesse período será considerado para o cálculo da conta de energia.</w:t>
      </w:r>
    </w:p>
    <w:p w:rsidR="00B14A83" w:rsidRDefault="00B14A83" w:rsidP="0007417B">
      <w:pPr>
        <w:jc w:val="both"/>
        <w:rPr>
          <w:rFonts w:ascii="Times New Roman" w:hAnsi="Times New Roman" w:cs="Times New Roman"/>
          <w:sz w:val="24"/>
          <w:szCs w:val="24"/>
        </w:rPr>
      </w:pPr>
      <w:r>
        <w:rPr>
          <w:rFonts w:ascii="Times New Roman" w:hAnsi="Times New Roman" w:cs="Times New Roman"/>
          <w:sz w:val="24"/>
          <w:szCs w:val="24"/>
        </w:rPr>
        <w:t>Já o consumo (kWh), está diretamente associado à potência (kW) dos equipamentos e à quantidade de horas (h) que estes permanecem ligados na rede elétrica, como ret</w:t>
      </w:r>
      <w:r w:rsidR="00236981">
        <w:rPr>
          <w:rFonts w:ascii="Times New Roman" w:hAnsi="Times New Roman" w:cs="Times New Roman"/>
          <w:sz w:val="24"/>
          <w:szCs w:val="24"/>
        </w:rPr>
        <w:t xml:space="preserve">rata a equação a seguir: </w:t>
      </w:r>
      <w:r w:rsidR="00236981" w:rsidRPr="00444214">
        <w:rPr>
          <w:rFonts w:ascii="Times New Roman" w:hAnsi="Times New Roman" w:cs="Times New Roman"/>
          <w:sz w:val="24"/>
          <w:szCs w:val="24"/>
          <w:u w:val="single"/>
        </w:rPr>
        <w:t xml:space="preserve">consumo (kWh) = potência (kW) x </w:t>
      </w:r>
      <w:proofErr w:type="spellStart"/>
      <w:r w:rsidR="00236981" w:rsidRPr="00444214">
        <w:rPr>
          <w:rFonts w:ascii="Times New Roman" w:hAnsi="Times New Roman" w:cs="Times New Roman"/>
          <w:sz w:val="24"/>
          <w:szCs w:val="24"/>
          <w:u w:val="single"/>
        </w:rPr>
        <w:t>qtde</w:t>
      </w:r>
      <w:proofErr w:type="spellEnd"/>
      <w:r w:rsidR="00236981" w:rsidRPr="00444214">
        <w:rPr>
          <w:rFonts w:ascii="Times New Roman" w:hAnsi="Times New Roman" w:cs="Times New Roman"/>
          <w:sz w:val="24"/>
          <w:szCs w:val="24"/>
          <w:u w:val="single"/>
        </w:rPr>
        <w:t>. de horas (h).</w:t>
      </w:r>
    </w:p>
    <w:p w:rsidR="00236981" w:rsidRDefault="00236981" w:rsidP="0007417B">
      <w:pPr>
        <w:jc w:val="both"/>
        <w:rPr>
          <w:rFonts w:ascii="Times New Roman" w:hAnsi="Times New Roman" w:cs="Times New Roman"/>
          <w:sz w:val="24"/>
          <w:szCs w:val="24"/>
        </w:rPr>
      </w:pPr>
      <w:r>
        <w:rPr>
          <w:rFonts w:ascii="Times New Roman" w:hAnsi="Times New Roman" w:cs="Times New Roman"/>
          <w:sz w:val="24"/>
          <w:szCs w:val="24"/>
        </w:rPr>
        <w:t xml:space="preserve">Isso posto, apresentamos a seguir as modalidades tarifárias estabelecidas na Resolução Normativa </w:t>
      </w:r>
      <w:r w:rsidR="00C13651">
        <w:rPr>
          <w:rFonts w:ascii="Times New Roman" w:hAnsi="Times New Roman" w:cs="Times New Roman"/>
          <w:sz w:val="24"/>
          <w:szCs w:val="24"/>
        </w:rPr>
        <w:t xml:space="preserve">ANEEL nº </w:t>
      </w:r>
      <w:r>
        <w:rPr>
          <w:rFonts w:ascii="Times New Roman" w:hAnsi="Times New Roman" w:cs="Times New Roman"/>
          <w:sz w:val="24"/>
          <w:szCs w:val="24"/>
        </w:rPr>
        <w:t>414/2010:</w:t>
      </w:r>
    </w:p>
    <w:tbl>
      <w:tblPr>
        <w:tblStyle w:val="Tabelacomgrade"/>
        <w:tblW w:w="0" w:type="auto"/>
        <w:jc w:val="center"/>
        <w:tblLook w:val="04A0"/>
      </w:tblPr>
      <w:tblGrid>
        <w:gridCol w:w="3936"/>
        <w:gridCol w:w="4784"/>
      </w:tblGrid>
      <w:tr w:rsidR="00E07382" w:rsidRPr="00C13651" w:rsidTr="002322AA">
        <w:trPr>
          <w:trHeight w:val="444"/>
          <w:jc w:val="center"/>
        </w:trPr>
        <w:tc>
          <w:tcPr>
            <w:tcW w:w="3936" w:type="dxa"/>
            <w:shd w:val="clear" w:color="auto" w:fill="D9D9D9" w:themeFill="background1" w:themeFillShade="D9"/>
            <w:vAlign w:val="center"/>
          </w:tcPr>
          <w:p w:rsidR="00236981" w:rsidRPr="00C13651" w:rsidRDefault="00C13651" w:rsidP="00C13651">
            <w:pPr>
              <w:jc w:val="center"/>
              <w:rPr>
                <w:rFonts w:ascii="Times New Roman" w:hAnsi="Times New Roman" w:cs="Times New Roman"/>
                <w:b/>
                <w:sz w:val="20"/>
                <w:szCs w:val="20"/>
              </w:rPr>
            </w:pPr>
            <w:r w:rsidRPr="00C13651">
              <w:rPr>
                <w:rFonts w:ascii="Times New Roman" w:hAnsi="Times New Roman" w:cs="Times New Roman"/>
                <w:b/>
                <w:sz w:val="20"/>
                <w:szCs w:val="20"/>
              </w:rPr>
              <w:t>MODALIDADE TARIFÁRIA MONÔMIA</w:t>
            </w:r>
          </w:p>
        </w:tc>
        <w:tc>
          <w:tcPr>
            <w:tcW w:w="4784" w:type="dxa"/>
            <w:shd w:val="clear" w:color="auto" w:fill="D9D9D9" w:themeFill="background1" w:themeFillShade="D9"/>
            <w:vAlign w:val="center"/>
          </w:tcPr>
          <w:p w:rsidR="00236981" w:rsidRPr="00C13651" w:rsidRDefault="00C13651" w:rsidP="002322AA">
            <w:pPr>
              <w:jc w:val="center"/>
              <w:rPr>
                <w:rFonts w:ascii="Times New Roman" w:hAnsi="Times New Roman" w:cs="Times New Roman"/>
                <w:b/>
                <w:sz w:val="20"/>
                <w:szCs w:val="20"/>
              </w:rPr>
            </w:pPr>
            <w:r w:rsidRPr="00C13651">
              <w:rPr>
                <w:rFonts w:ascii="Times New Roman" w:hAnsi="Times New Roman" w:cs="Times New Roman"/>
                <w:b/>
                <w:sz w:val="20"/>
                <w:szCs w:val="20"/>
              </w:rPr>
              <w:t>MODALIDADES TARIFÁRIAS BINÔMIAS</w:t>
            </w:r>
          </w:p>
        </w:tc>
      </w:tr>
      <w:tr w:rsidR="00E07382" w:rsidRPr="00C13651" w:rsidTr="002322AA">
        <w:trPr>
          <w:jc w:val="center"/>
        </w:trPr>
        <w:tc>
          <w:tcPr>
            <w:tcW w:w="3936" w:type="dxa"/>
            <w:vMerge w:val="restart"/>
            <w:vAlign w:val="center"/>
          </w:tcPr>
          <w:p w:rsidR="00C13651" w:rsidRPr="00C13651" w:rsidRDefault="00C13651" w:rsidP="002322AA">
            <w:pPr>
              <w:jc w:val="center"/>
              <w:rPr>
                <w:rFonts w:ascii="Times New Roman" w:hAnsi="Times New Roman" w:cs="Times New Roman"/>
                <w:sz w:val="20"/>
                <w:szCs w:val="20"/>
              </w:rPr>
            </w:pPr>
            <w:r>
              <w:rPr>
                <w:rFonts w:ascii="Times New Roman" w:hAnsi="Times New Roman" w:cs="Times New Roman"/>
                <w:sz w:val="20"/>
                <w:szCs w:val="20"/>
              </w:rPr>
              <w:t>Aplicada às unidades consumidoras de Baixa Tensão ou unidades consumidoras de Alta Tensão que optarem pelo faturamento com a aplicação da tarifa de Baixa Tensão, segundo os critérios do art. 100 da Resolução Normativa ANEEL nº 414/2010, caracterizada por tarifas de consumo (kW) de energia elétrica, independentemente dos segmentos horários (Ponta e Fora de Ponta).</w:t>
            </w:r>
          </w:p>
        </w:tc>
        <w:tc>
          <w:tcPr>
            <w:tcW w:w="4784" w:type="dxa"/>
          </w:tcPr>
          <w:p w:rsidR="00C13651" w:rsidRPr="00C13651" w:rsidRDefault="00E07382" w:rsidP="0007417B">
            <w:pPr>
              <w:jc w:val="both"/>
              <w:rPr>
                <w:rFonts w:ascii="Times New Roman" w:hAnsi="Times New Roman" w:cs="Times New Roman"/>
                <w:sz w:val="20"/>
                <w:szCs w:val="20"/>
              </w:rPr>
            </w:pPr>
            <w:r w:rsidRPr="00E07382">
              <w:rPr>
                <w:rFonts w:ascii="Times New Roman" w:hAnsi="Times New Roman" w:cs="Times New Roman"/>
                <w:sz w:val="20"/>
                <w:szCs w:val="20"/>
                <w:u w:val="single"/>
              </w:rPr>
              <w:t>CONVENCIONAL</w:t>
            </w:r>
            <w:r>
              <w:rPr>
                <w:rFonts w:ascii="Times New Roman" w:hAnsi="Times New Roman" w:cs="Times New Roman"/>
                <w:sz w:val="20"/>
                <w:szCs w:val="20"/>
              </w:rPr>
              <w:t xml:space="preserve"> – Aplicada às unidades consumidoras de Alta Tensão, caracterizada por tarifas de consumo (kWh) e demanda (kW), independentemente dos segmentos horários (Ponta e Fora de Ponta). </w:t>
            </w:r>
            <w:r w:rsidRPr="00E07382">
              <w:rPr>
                <w:rFonts w:ascii="Times New Roman" w:hAnsi="Times New Roman" w:cs="Times New Roman"/>
                <w:b/>
                <w:sz w:val="20"/>
                <w:szCs w:val="20"/>
              </w:rPr>
              <w:t>Esta modalidade está prevista para ser extinta em abril/2017.</w:t>
            </w:r>
          </w:p>
        </w:tc>
      </w:tr>
      <w:tr w:rsidR="00E07382" w:rsidRPr="00C13651" w:rsidTr="00E07382">
        <w:trPr>
          <w:jc w:val="center"/>
        </w:trPr>
        <w:tc>
          <w:tcPr>
            <w:tcW w:w="3936" w:type="dxa"/>
            <w:vMerge/>
          </w:tcPr>
          <w:p w:rsidR="00C13651" w:rsidRPr="00C13651" w:rsidRDefault="00C13651" w:rsidP="0007417B">
            <w:pPr>
              <w:jc w:val="both"/>
              <w:rPr>
                <w:rFonts w:ascii="Times New Roman" w:hAnsi="Times New Roman" w:cs="Times New Roman"/>
                <w:sz w:val="20"/>
                <w:szCs w:val="20"/>
              </w:rPr>
            </w:pPr>
          </w:p>
        </w:tc>
        <w:tc>
          <w:tcPr>
            <w:tcW w:w="4784" w:type="dxa"/>
          </w:tcPr>
          <w:p w:rsidR="00C13651" w:rsidRPr="00C13651" w:rsidRDefault="00E07382" w:rsidP="0007417B">
            <w:pPr>
              <w:jc w:val="both"/>
              <w:rPr>
                <w:rFonts w:ascii="Times New Roman" w:hAnsi="Times New Roman" w:cs="Times New Roman"/>
                <w:sz w:val="20"/>
                <w:szCs w:val="20"/>
              </w:rPr>
            </w:pPr>
            <w:r w:rsidRPr="00E07382">
              <w:rPr>
                <w:rFonts w:ascii="Times New Roman" w:hAnsi="Times New Roman" w:cs="Times New Roman"/>
                <w:sz w:val="20"/>
                <w:szCs w:val="20"/>
                <w:u w:val="single"/>
              </w:rPr>
              <w:t>HORÁRIA VERDE</w:t>
            </w:r>
            <w:r>
              <w:rPr>
                <w:rFonts w:ascii="Times New Roman" w:hAnsi="Times New Roman" w:cs="Times New Roman"/>
                <w:sz w:val="20"/>
                <w:szCs w:val="20"/>
              </w:rPr>
              <w:t xml:space="preserve"> – Aplicada às unidades consumidoras de Alta Tensão, caracterizada por tarifas diferenciadas de consumo (kWh), de acordo com os segmentos horários (Ponta e Fora de Ponta), assim como de uma única tarifa de demanda (kW).</w:t>
            </w:r>
          </w:p>
        </w:tc>
      </w:tr>
      <w:tr w:rsidR="00E07382" w:rsidRPr="00C13651" w:rsidTr="00E07382">
        <w:trPr>
          <w:jc w:val="center"/>
        </w:trPr>
        <w:tc>
          <w:tcPr>
            <w:tcW w:w="3936" w:type="dxa"/>
            <w:vMerge/>
          </w:tcPr>
          <w:p w:rsidR="00C13651" w:rsidRPr="00C13651" w:rsidRDefault="00C13651" w:rsidP="0007417B">
            <w:pPr>
              <w:jc w:val="both"/>
              <w:rPr>
                <w:rFonts w:ascii="Times New Roman" w:hAnsi="Times New Roman" w:cs="Times New Roman"/>
                <w:sz w:val="20"/>
                <w:szCs w:val="20"/>
              </w:rPr>
            </w:pPr>
          </w:p>
        </w:tc>
        <w:tc>
          <w:tcPr>
            <w:tcW w:w="4784" w:type="dxa"/>
          </w:tcPr>
          <w:p w:rsidR="00C13651" w:rsidRPr="00C13651" w:rsidRDefault="00E07382" w:rsidP="00E07382">
            <w:pPr>
              <w:jc w:val="both"/>
              <w:rPr>
                <w:rFonts w:ascii="Times New Roman" w:hAnsi="Times New Roman" w:cs="Times New Roman"/>
                <w:sz w:val="20"/>
                <w:szCs w:val="20"/>
              </w:rPr>
            </w:pPr>
            <w:r w:rsidRPr="00337F91">
              <w:rPr>
                <w:rFonts w:ascii="Times New Roman" w:hAnsi="Times New Roman" w:cs="Times New Roman"/>
                <w:sz w:val="20"/>
                <w:szCs w:val="20"/>
                <w:u w:val="single"/>
              </w:rPr>
              <w:t>HORÁRIA AZUL</w:t>
            </w:r>
            <w:r>
              <w:rPr>
                <w:rFonts w:ascii="Times New Roman" w:hAnsi="Times New Roman" w:cs="Times New Roman"/>
                <w:sz w:val="20"/>
                <w:szCs w:val="20"/>
              </w:rPr>
              <w:t xml:space="preserve"> – Aplicada às unidades consumidoras de Alta Tensão, caracterizada por tarifas diferenciadas de consumo (kWh) e demanda (kW), de acordo com os </w:t>
            </w:r>
            <w:r w:rsidR="00A55508">
              <w:rPr>
                <w:rFonts w:ascii="Times New Roman" w:hAnsi="Times New Roman" w:cs="Times New Roman"/>
                <w:sz w:val="20"/>
                <w:szCs w:val="20"/>
              </w:rPr>
              <w:t>segmentos horários (Ponta e Fora de Ponta).</w:t>
            </w:r>
          </w:p>
        </w:tc>
      </w:tr>
    </w:tbl>
    <w:p w:rsidR="00236981" w:rsidRDefault="00236981" w:rsidP="0007417B">
      <w:pPr>
        <w:jc w:val="both"/>
        <w:rPr>
          <w:rFonts w:ascii="Times New Roman" w:hAnsi="Times New Roman" w:cs="Times New Roman"/>
          <w:sz w:val="24"/>
          <w:szCs w:val="24"/>
        </w:rPr>
      </w:pPr>
    </w:p>
    <w:p w:rsidR="00DC2909" w:rsidRDefault="00176089" w:rsidP="0007417B">
      <w:pPr>
        <w:jc w:val="both"/>
        <w:rPr>
          <w:rFonts w:ascii="Times New Roman" w:hAnsi="Times New Roman" w:cs="Times New Roman"/>
          <w:sz w:val="24"/>
          <w:szCs w:val="24"/>
        </w:rPr>
      </w:pPr>
      <w:r>
        <w:rPr>
          <w:rFonts w:ascii="Times New Roman" w:hAnsi="Times New Roman" w:cs="Times New Roman"/>
          <w:sz w:val="24"/>
          <w:szCs w:val="24"/>
        </w:rPr>
        <w:t>O enquadramento tarifário adequado ocorre quando o órgão está com a modalidade tarifária que resulta em menor custo total, dentro da estrutura a</w:t>
      </w:r>
      <w:r w:rsidR="00B7268C">
        <w:rPr>
          <w:rFonts w:ascii="Times New Roman" w:hAnsi="Times New Roman" w:cs="Times New Roman"/>
          <w:sz w:val="24"/>
          <w:szCs w:val="24"/>
        </w:rPr>
        <w:t xml:space="preserve">cima apresentada. A Cartilha Energia, do MPOG, traz algumas diretrizes para a escolha da melhor modalidade tarifária. </w:t>
      </w:r>
    </w:p>
    <w:p w:rsidR="00623AD1" w:rsidRDefault="00623AD1" w:rsidP="0007417B">
      <w:pPr>
        <w:jc w:val="both"/>
        <w:rPr>
          <w:rFonts w:ascii="Times New Roman" w:hAnsi="Times New Roman" w:cs="Times New Roman"/>
          <w:sz w:val="24"/>
          <w:szCs w:val="24"/>
        </w:rPr>
      </w:pPr>
    </w:p>
    <w:p w:rsidR="00176089" w:rsidRDefault="00B7268C" w:rsidP="0007417B">
      <w:pPr>
        <w:jc w:val="both"/>
        <w:rPr>
          <w:rFonts w:ascii="Times New Roman" w:hAnsi="Times New Roman" w:cs="Times New Roman"/>
          <w:i/>
          <w:sz w:val="24"/>
          <w:szCs w:val="24"/>
        </w:rPr>
      </w:pPr>
      <w:r>
        <w:rPr>
          <w:rFonts w:ascii="Times New Roman" w:hAnsi="Times New Roman" w:cs="Times New Roman"/>
          <w:sz w:val="24"/>
          <w:szCs w:val="24"/>
        </w:rPr>
        <w:t xml:space="preserve">Segundo essa cartilha, </w:t>
      </w:r>
      <w:r w:rsidR="00DC2909" w:rsidRPr="009043DB">
        <w:rPr>
          <w:rFonts w:ascii="Times New Roman" w:hAnsi="Times New Roman" w:cs="Times New Roman"/>
          <w:i/>
          <w:sz w:val="24"/>
          <w:szCs w:val="24"/>
        </w:rPr>
        <w:t>a estrutura CONVENCIONAL é indicada para órgãos públicos onde ocorre grande utilização de energia elétrica no período denominado “horário de ponta”, ou em parte deste período. Já a estrutura HORO-SAZONAL VERDE é mais indicada para a unidade consumidora que consegue paralisar ou reduzir bastante suas atividades no “horário de ponta”. A ESTRUTURA HOR-SAZONAL AZUL é, normalmente, mais recomendada às grandes unidades consumidoras que não podem paralisar suas atividades no “horário de ponta”, e, portanto, apresentam um consumo significativo de energia elétrica nesse período.</w:t>
      </w:r>
    </w:p>
    <w:p w:rsidR="009043DB" w:rsidRDefault="00583830" w:rsidP="0007417B">
      <w:pPr>
        <w:jc w:val="both"/>
        <w:rPr>
          <w:rFonts w:ascii="Times New Roman" w:hAnsi="Times New Roman" w:cs="Times New Roman"/>
          <w:sz w:val="24"/>
          <w:szCs w:val="24"/>
        </w:rPr>
      </w:pPr>
      <w:r>
        <w:rPr>
          <w:rFonts w:ascii="Times New Roman" w:hAnsi="Times New Roman" w:cs="Times New Roman"/>
          <w:sz w:val="24"/>
          <w:szCs w:val="24"/>
        </w:rPr>
        <w:t xml:space="preserve">Atendendo a solicitação desta AUDIN, a CELPE realizou uma simulação de faturamento, </w:t>
      </w:r>
      <w:r w:rsidR="00B02C94">
        <w:rPr>
          <w:rFonts w:ascii="Times New Roman" w:hAnsi="Times New Roman" w:cs="Times New Roman"/>
          <w:sz w:val="24"/>
          <w:szCs w:val="24"/>
        </w:rPr>
        <w:t>tomando como referência o mês de setembro/2016</w:t>
      </w:r>
      <w:r>
        <w:rPr>
          <w:rFonts w:ascii="Times New Roman" w:hAnsi="Times New Roman" w:cs="Times New Roman"/>
          <w:sz w:val="24"/>
          <w:szCs w:val="24"/>
        </w:rPr>
        <w:t xml:space="preserve">, na qual, inicialmente, </w:t>
      </w:r>
      <w:r w:rsidR="008C16C9">
        <w:rPr>
          <w:rFonts w:ascii="Times New Roman" w:hAnsi="Times New Roman" w:cs="Times New Roman"/>
          <w:sz w:val="24"/>
          <w:szCs w:val="24"/>
        </w:rPr>
        <w:t>foram</w:t>
      </w:r>
      <w:r>
        <w:rPr>
          <w:rFonts w:ascii="Times New Roman" w:hAnsi="Times New Roman" w:cs="Times New Roman"/>
          <w:sz w:val="24"/>
          <w:szCs w:val="24"/>
        </w:rPr>
        <w:t xml:space="preserve"> verificada</w:t>
      </w:r>
      <w:r w:rsidR="008C16C9">
        <w:rPr>
          <w:rFonts w:ascii="Times New Roman" w:hAnsi="Times New Roman" w:cs="Times New Roman"/>
          <w:sz w:val="24"/>
          <w:szCs w:val="24"/>
        </w:rPr>
        <w:t>s</w:t>
      </w:r>
      <w:r>
        <w:rPr>
          <w:rFonts w:ascii="Times New Roman" w:hAnsi="Times New Roman" w:cs="Times New Roman"/>
          <w:sz w:val="24"/>
          <w:szCs w:val="24"/>
        </w:rPr>
        <w:t xml:space="preserve"> as atuais condições contratuais da UFRPE e, posteriormente, aplicadas as modalidades tarifárias para cada uma das unidades consumidoras conectadas em </w:t>
      </w:r>
      <w:r w:rsidR="008C16C9">
        <w:rPr>
          <w:rFonts w:ascii="Times New Roman" w:hAnsi="Times New Roman" w:cs="Times New Roman"/>
          <w:sz w:val="24"/>
          <w:szCs w:val="24"/>
        </w:rPr>
        <w:t>média/</w:t>
      </w:r>
      <w:r>
        <w:rPr>
          <w:rFonts w:ascii="Times New Roman" w:hAnsi="Times New Roman" w:cs="Times New Roman"/>
          <w:sz w:val="24"/>
          <w:szCs w:val="24"/>
        </w:rPr>
        <w:t>alta tensão.</w:t>
      </w:r>
    </w:p>
    <w:p w:rsidR="00816ABD" w:rsidRDefault="006720DC" w:rsidP="0007417B">
      <w:pPr>
        <w:jc w:val="both"/>
        <w:rPr>
          <w:rFonts w:ascii="Times New Roman" w:hAnsi="Times New Roman" w:cs="Times New Roman"/>
          <w:sz w:val="24"/>
          <w:szCs w:val="24"/>
        </w:rPr>
      </w:pPr>
      <w:r>
        <w:rPr>
          <w:rFonts w:ascii="Times New Roman" w:hAnsi="Times New Roman" w:cs="Times New Roman"/>
          <w:sz w:val="24"/>
          <w:szCs w:val="24"/>
        </w:rPr>
        <w:t>O resultado dessa</w:t>
      </w:r>
      <w:r w:rsidR="004B374F">
        <w:rPr>
          <w:rFonts w:ascii="Times New Roman" w:hAnsi="Times New Roman" w:cs="Times New Roman"/>
          <w:sz w:val="24"/>
          <w:szCs w:val="24"/>
        </w:rPr>
        <w:t xml:space="preserve"> simulação foi consolidado pela AUDIN, sendo apresentado no Quadro </w:t>
      </w:r>
      <w:r w:rsidR="004C6639">
        <w:rPr>
          <w:rFonts w:ascii="Times New Roman" w:hAnsi="Times New Roman" w:cs="Times New Roman"/>
          <w:sz w:val="24"/>
          <w:szCs w:val="24"/>
        </w:rPr>
        <w:t>4</w:t>
      </w:r>
      <w:r>
        <w:rPr>
          <w:rFonts w:ascii="Times New Roman" w:hAnsi="Times New Roman" w:cs="Times New Roman"/>
          <w:sz w:val="24"/>
          <w:szCs w:val="24"/>
        </w:rPr>
        <w:t xml:space="preserve"> – Simulação de faturamento, mais adiante exposto.</w:t>
      </w:r>
      <w:r w:rsidR="004B374F">
        <w:rPr>
          <w:rFonts w:ascii="Times New Roman" w:hAnsi="Times New Roman" w:cs="Times New Roman"/>
          <w:sz w:val="24"/>
          <w:szCs w:val="24"/>
        </w:rPr>
        <w:t xml:space="preserve"> </w:t>
      </w:r>
      <w:r w:rsidR="00B02C94">
        <w:rPr>
          <w:rFonts w:ascii="Times New Roman" w:hAnsi="Times New Roman" w:cs="Times New Roman"/>
          <w:sz w:val="24"/>
          <w:szCs w:val="24"/>
        </w:rPr>
        <w:t>Conforme se pode observar, ele demonstra na coluna de “situação encontrada” que há espaço para adequação de diversos contratos desta IFES.</w:t>
      </w:r>
    </w:p>
    <w:p w:rsidR="006A68E4" w:rsidRDefault="00545B8A" w:rsidP="0007417B">
      <w:pPr>
        <w:jc w:val="both"/>
        <w:rPr>
          <w:rFonts w:ascii="Times New Roman" w:hAnsi="Times New Roman" w:cs="Times New Roman"/>
          <w:sz w:val="24"/>
          <w:szCs w:val="24"/>
        </w:rPr>
      </w:pPr>
      <w:r>
        <w:rPr>
          <w:rFonts w:ascii="Times New Roman" w:hAnsi="Times New Roman" w:cs="Times New Roman"/>
          <w:sz w:val="24"/>
          <w:szCs w:val="24"/>
        </w:rPr>
        <w:t>A CELPE orienta que, caso a UFRPE opte pela modificação da modalidade tarifária, será necessária a celebração de um Termo Aditivo/Contrato de Fornecimento com a CELPE. A solicitação poderá ser realizada mediante o preenchimento e apresentação de formulário próprio, podendo também ser encaminhada por e-mail.</w:t>
      </w:r>
    </w:p>
    <w:p w:rsidR="00B02C94" w:rsidRDefault="007839DA" w:rsidP="0007417B">
      <w:pPr>
        <w:jc w:val="both"/>
        <w:rPr>
          <w:rFonts w:ascii="Times New Roman" w:hAnsi="Times New Roman" w:cs="Times New Roman"/>
          <w:sz w:val="24"/>
          <w:szCs w:val="24"/>
        </w:rPr>
      </w:pPr>
      <w:r>
        <w:rPr>
          <w:rFonts w:ascii="Times New Roman" w:hAnsi="Times New Roman" w:cs="Times New Roman"/>
          <w:sz w:val="24"/>
          <w:szCs w:val="24"/>
        </w:rPr>
        <w:t>A</w:t>
      </w:r>
      <w:r w:rsidR="006A68E4">
        <w:rPr>
          <w:rFonts w:ascii="Times New Roman" w:hAnsi="Times New Roman" w:cs="Times New Roman"/>
          <w:sz w:val="24"/>
          <w:szCs w:val="24"/>
        </w:rPr>
        <w:t xml:space="preserve"> Resolução Normativa da ANEEL nº 414/2010, permite revisão anual dos contratos com a concessionária. </w:t>
      </w:r>
      <w:r w:rsidR="00545B8A">
        <w:rPr>
          <w:rFonts w:ascii="Times New Roman" w:hAnsi="Times New Roman" w:cs="Times New Roman"/>
          <w:sz w:val="24"/>
          <w:szCs w:val="24"/>
        </w:rPr>
        <w:t xml:space="preserve"> </w:t>
      </w:r>
      <w:r w:rsidR="006A68E4">
        <w:rPr>
          <w:rFonts w:ascii="Times New Roman" w:hAnsi="Times New Roman" w:cs="Times New Roman"/>
          <w:sz w:val="24"/>
          <w:szCs w:val="24"/>
        </w:rPr>
        <w:t xml:space="preserve">É possível realizar a revisão contratual a cada 12 meses ou a qualquer tempo, nos casos do consumidor comprovar a implantação de medidas de </w:t>
      </w:r>
      <w:proofErr w:type="spellStart"/>
      <w:r w:rsidR="006A68E4">
        <w:rPr>
          <w:rFonts w:ascii="Times New Roman" w:hAnsi="Times New Roman" w:cs="Times New Roman"/>
          <w:sz w:val="24"/>
          <w:szCs w:val="24"/>
        </w:rPr>
        <w:t>eficientização</w:t>
      </w:r>
      <w:proofErr w:type="spellEnd"/>
      <w:r w:rsidR="006A68E4">
        <w:rPr>
          <w:rFonts w:ascii="Times New Roman" w:hAnsi="Times New Roman" w:cs="Times New Roman"/>
          <w:sz w:val="24"/>
          <w:szCs w:val="24"/>
        </w:rPr>
        <w:t xml:space="preserve"> ene</w:t>
      </w:r>
      <w:r w:rsidR="008F7FDF">
        <w:rPr>
          <w:rFonts w:ascii="Times New Roman" w:hAnsi="Times New Roman" w:cs="Times New Roman"/>
          <w:sz w:val="24"/>
          <w:szCs w:val="24"/>
        </w:rPr>
        <w:t xml:space="preserve">rgética. Entretanto, caso o consumidor não se pronuncie, o contrato é automaticamente renovado por igual período, perdendo o consumidor uma oportunidade de renegociá-lo em condições mais favoráveis. </w:t>
      </w:r>
    </w:p>
    <w:p w:rsidR="009D65FE" w:rsidRDefault="00BF35F6" w:rsidP="0007417B">
      <w:pPr>
        <w:jc w:val="both"/>
        <w:rPr>
          <w:rFonts w:ascii="Times New Roman" w:hAnsi="Times New Roman" w:cs="Times New Roman"/>
          <w:sz w:val="24"/>
          <w:szCs w:val="24"/>
        </w:rPr>
      </w:pPr>
      <w:r>
        <w:rPr>
          <w:rFonts w:ascii="Times New Roman" w:hAnsi="Times New Roman" w:cs="Times New Roman"/>
          <w:sz w:val="24"/>
          <w:szCs w:val="24"/>
        </w:rPr>
        <w:t>Diante do exposto</w:t>
      </w:r>
      <w:r w:rsidR="007839DA">
        <w:rPr>
          <w:rFonts w:ascii="Times New Roman" w:hAnsi="Times New Roman" w:cs="Times New Roman"/>
          <w:sz w:val="24"/>
          <w:szCs w:val="24"/>
        </w:rPr>
        <w:t xml:space="preserve">, esperamos que </w:t>
      </w:r>
      <w:r w:rsidR="009D65FE">
        <w:rPr>
          <w:rFonts w:ascii="Times New Roman" w:hAnsi="Times New Roman" w:cs="Times New Roman"/>
          <w:sz w:val="24"/>
          <w:szCs w:val="24"/>
        </w:rPr>
        <w:t>os dados fornecidos pela CELPE, bem como os levantamentos consolidados dessas informações, realizados pela AUDIN, juntamente com as análises efetuadas, contribuam para auxiliar os gestores desta IFES nas decisões de possíveis ajustes contratuais</w:t>
      </w:r>
      <w:r w:rsidR="00A32EC3">
        <w:rPr>
          <w:rFonts w:ascii="Times New Roman" w:hAnsi="Times New Roman" w:cs="Times New Roman"/>
          <w:sz w:val="24"/>
          <w:szCs w:val="24"/>
        </w:rPr>
        <w:t>, que possam reduzir as despesas com energia e colaborar com o gasto mais eficiente dos recursos públicos</w:t>
      </w:r>
      <w:r w:rsidR="009D65FE">
        <w:rPr>
          <w:rFonts w:ascii="Times New Roman" w:hAnsi="Times New Roman" w:cs="Times New Roman"/>
          <w:sz w:val="24"/>
          <w:szCs w:val="24"/>
        </w:rPr>
        <w:t xml:space="preserve">. </w:t>
      </w:r>
    </w:p>
    <w:p w:rsidR="00BF35F6" w:rsidRDefault="00BF35F6" w:rsidP="0007417B">
      <w:pPr>
        <w:jc w:val="both"/>
        <w:rPr>
          <w:rFonts w:ascii="Times New Roman" w:hAnsi="Times New Roman" w:cs="Times New Roman"/>
          <w:sz w:val="24"/>
          <w:szCs w:val="24"/>
        </w:rPr>
      </w:pPr>
      <w:r>
        <w:rPr>
          <w:rFonts w:ascii="Times New Roman" w:hAnsi="Times New Roman" w:cs="Times New Roman"/>
          <w:sz w:val="24"/>
          <w:szCs w:val="24"/>
        </w:rPr>
        <w:t>Por fim, esclarecemos que o resultado, na íntegra, das informações disponibilizadas pela CELPE, por meio de sua Unidade de Relacionamento com clientes do Poder Público, encontra</w:t>
      </w:r>
      <w:r w:rsidR="00A32EC3">
        <w:rPr>
          <w:rFonts w:ascii="Times New Roman" w:hAnsi="Times New Roman" w:cs="Times New Roman"/>
          <w:sz w:val="24"/>
          <w:szCs w:val="24"/>
        </w:rPr>
        <w:t>-se anexado</w:t>
      </w:r>
      <w:r>
        <w:rPr>
          <w:rFonts w:ascii="Times New Roman" w:hAnsi="Times New Roman" w:cs="Times New Roman"/>
          <w:sz w:val="24"/>
          <w:szCs w:val="24"/>
        </w:rPr>
        <w:t xml:space="preserve"> a esta Nota d</w:t>
      </w:r>
      <w:r w:rsidR="0031421A">
        <w:rPr>
          <w:rFonts w:ascii="Times New Roman" w:hAnsi="Times New Roman" w:cs="Times New Roman"/>
          <w:sz w:val="24"/>
          <w:szCs w:val="24"/>
        </w:rPr>
        <w:t>e Auditoria, em mídia digital (DV</w:t>
      </w:r>
      <w:r>
        <w:rPr>
          <w:rFonts w:ascii="Times New Roman" w:hAnsi="Times New Roman" w:cs="Times New Roman"/>
          <w:sz w:val="24"/>
          <w:szCs w:val="24"/>
        </w:rPr>
        <w:t>D).</w:t>
      </w:r>
    </w:p>
    <w:p w:rsidR="00816ABD" w:rsidRDefault="00816ABD" w:rsidP="0007417B">
      <w:pPr>
        <w:jc w:val="both"/>
        <w:rPr>
          <w:rFonts w:ascii="Times New Roman" w:hAnsi="Times New Roman" w:cs="Times New Roman"/>
          <w:sz w:val="24"/>
          <w:szCs w:val="24"/>
        </w:rPr>
        <w:sectPr w:rsidR="00816ABD" w:rsidSect="004470EF">
          <w:pgSz w:w="11906" w:h="16838"/>
          <w:pgMar w:top="1417" w:right="1701" w:bottom="1417" w:left="1701" w:header="708" w:footer="588" w:gutter="0"/>
          <w:cols w:space="708"/>
          <w:docGrid w:linePitch="360"/>
        </w:sectPr>
      </w:pPr>
    </w:p>
    <w:p w:rsidR="00623AD1" w:rsidRDefault="00623AD1" w:rsidP="00387ACB">
      <w:pPr>
        <w:jc w:val="both"/>
        <w:rPr>
          <w:rFonts w:ascii="Times New Roman" w:hAnsi="Times New Roman" w:cs="Times New Roman"/>
          <w:sz w:val="24"/>
          <w:szCs w:val="24"/>
        </w:rPr>
      </w:pPr>
    </w:p>
    <w:p w:rsidR="00387ACB" w:rsidRDefault="00387ACB" w:rsidP="00387ACB">
      <w:pPr>
        <w:jc w:val="both"/>
        <w:rPr>
          <w:rFonts w:ascii="Times New Roman" w:hAnsi="Times New Roman" w:cs="Times New Roman"/>
          <w:sz w:val="24"/>
          <w:szCs w:val="24"/>
        </w:rPr>
      </w:pPr>
      <w:r>
        <w:rPr>
          <w:rFonts w:ascii="Times New Roman" w:hAnsi="Times New Roman" w:cs="Times New Roman"/>
          <w:sz w:val="24"/>
          <w:szCs w:val="24"/>
        </w:rPr>
        <w:t xml:space="preserve">Quadro </w:t>
      </w:r>
      <w:r w:rsidR="00BF35F6">
        <w:rPr>
          <w:rFonts w:ascii="Times New Roman" w:hAnsi="Times New Roman" w:cs="Times New Roman"/>
          <w:sz w:val="24"/>
          <w:szCs w:val="24"/>
        </w:rPr>
        <w:t>4</w:t>
      </w:r>
      <w:r>
        <w:rPr>
          <w:rFonts w:ascii="Times New Roman" w:hAnsi="Times New Roman" w:cs="Times New Roman"/>
          <w:sz w:val="24"/>
          <w:szCs w:val="24"/>
        </w:rPr>
        <w:t xml:space="preserve"> - Simulação de faturamento tarifário</w:t>
      </w: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93B83" w:rsidRDefault="00893B83" w:rsidP="0007417B">
      <w:pPr>
        <w:jc w:val="both"/>
        <w:rPr>
          <w:rFonts w:ascii="Times New Roman" w:hAnsi="Times New Roman" w:cs="Times New Roman"/>
          <w:sz w:val="24"/>
          <w:szCs w:val="24"/>
        </w:rPr>
      </w:pPr>
    </w:p>
    <w:p w:rsidR="00893B83" w:rsidRDefault="00893B83" w:rsidP="0007417B">
      <w:pPr>
        <w:jc w:val="both"/>
        <w:rPr>
          <w:rFonts w:ascii="Times New Roman" w:hAnsi="Times New Roman" w:cs="Times New Roman"/>
          <w:sz w:val="24"/>
          <w:szCs w:val="24"/>
        </w:rPr>
      </w:pPr>
    </w:p>
    <w:p w:rsidR="00893B83" w:rsidRDefault="00893B83"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9843F4" w:rsidRDefault="009843F4" w:rsidP="0007417B">
      <w:pPr>
        <w:jc w:val="both"/>
        <w:rPr>
          <w:rFonts w:ascii="Times New Roman" w:hAnsi="Times New Roman" w:cs="Times New Roman"/>
          <w:sz w:val="24"/>
          <w:szCs w:val="24"/>
        </w:rPr>
      </w:pPr>
    </w:p>
    <w:p w:rsidR="00816ABD" w:rsidRDefault="00816ABD" w:rsidP="0007417B">
      <w:pPr>
        <w:jc w:val="both"/>
        <w:rPr>
          <w:rFonts w:ascii="Times New Roman" w:hAnsi="Times New Roman" w:cs="Times New Roman"/>
          <w:sz w:val="24"/>
          <w:szCs w:val="24"/>
        </w:rPr>
      </w:pPr>
    </w:p>
    <w:p w:rsidR="00816ABD" w:rsidRDefault="00893B83" w:rsidP="00BF35F6">
      <w:pPr>
        <w:rPr>
          <w:rFonts w:ascii="Times New Roman" w:hAnsi="Times New Roman" w:cs="Times New Roman"/>
          <w:sz w:val="24"/>
          <w:szCs w:val="24"/>
        </w:rPr>
        <w:sectPr w:rsidR="00816ABD" w:rsidSect="00893B83">
          <w:pgSz w:w="11906" w:h="16838"/>
          <w:pgMar w:top="1418" w:right="1701" w:bottom="1418" w:left="1701" w:header="709" w:footer="709" w:gutter="0"/>
          <w:cols w:space="708"/>
          <w:docGrid w:linePitch="360"/>
        </w:sectPr>
      </w:pPr>
      <w:r>
        <w:rPr>
          <w:rFonts w:ascii="Times New Roman" w:hAnsi="Times New Roman" w:cs="Times New Roman"/>
          <w:sz w:val="24"/>
          <w:szCs w:val="24"/>
        </w:rPr>
        <w:br w:type="page"/>
      </w:r>
    </w:p>
    <w:p w:rsidR="004C60EB" w:rsidRDefault="004C60EB" w:rsidP="0021603F">
      <w:pPr>
        <w:spacing w:after="0" w:line="240" w:lineRule="auto"/>
        <w:jc w:val="both"/>
        <w:rPr>
          <w:rFonts w:ascii="Times New Roman" w:hAnsi="Times New Roman" w:cs="Times New Roman"/>
          <w:b/>
          <w:bCs/>
          <w:sz w:val="24"/>
          <w:szCs w:val="24"/>
        </w:rPr>
      </w:pPr>
    </w:p>
    <w:p w:rsidR="0021603F" w:rsidRPr="000A6B3B" w:rsidRDefault="0021603F" w:rsidP="0021603F">
      <w:pPr>
        <w:spacing w:after="0" w:line="240" w:lineRule="auto"/>
        <w:jc w:val="both"/>
        <w:rPr>
          <w:rFonts w:ascii="Times New Roman" w:hAnsi="Times New Roman" w:cs="Times New Roman"/>
          <w:b/>
          <w:bCs/>
          <w:sz w:val="24"/>
          <w:szCs w:val="24"/>
        </w:rPr>
      </w:pPr>
      <w:r w:rsidRPr="000A6B3B">
        <w:rPr>
          <w:rFonts w:ascii="Times New Roman" w:hAnsi="Times New Roman" w:cs="Times New Roman"/>
          <w:b/>
          <w:bCs/>
          <w:sz w:val="24"/>
          <w:szCs w:val="24"/>
        </w:rPr>
        <w:t>AVALIAÇÃO DE RISCOS</w:t>
      </w:r>
    </w:p>
    <w:p w:rsidR="0021603F" w:rsidRPr="000A6B3B" w:rsidRDefault="0021603F" w:rsidP="0021603F">
      <w:pPr>
        <w:spacing w:after="0"/>
        <w:jc w:val="both"/>
        <w:rPr>
          <w:rFonts w:ascii="Times New Roman" w:hAnsi="Times New Roman" w:cs="Times New Roman"/>
          <w:color w:val="000000"/>
          <w:sz w:val="24"/>
          <w:szCs w:val="24"/>
        </w:rPr>
      </w:pPr>
    </w:p>
    <w:p w:rsidR="00F05700" w:rsidRDefault="0021603F" w:rsidP="00F05700">
      <w:pPr>
        <w:spacing w:after="0"/>
        <w:jc w:val="both"/>
        <w:rPr>
          <w:rFonts w:ascii="Times New Roman" w:hAnsi="Times New Roman" w:cs="Times New Roman"/>
          <w:color w:val="FF0000"/>
          <w:sz w:val="24"/>
          <w:szCs w:val="24"/>
        </w:rPr>
      </w:pPr>
      <w:r w:rsidRPr="000A6B3B">
        <w:rPr>
          <w:rFonts w:ascii="Times New Roman" w:hAnsi="Times New Roman" w:cs="Times New Roman"/>
          <w:b/>
          <w:color w:val="000000"/>
          <w:sz w:val="24"/>
          <w:szCs w:val="24"/>
        </w:rPr>
        <w:t>Risco(s) identificado(s):</w:t>
      </w:r>
      <w:r w:rsidR="00F05700">
        <w:rPr>
          <w:rFonts w:ascii="Times New Roman" w:hAnsi="Times New Roman" w:cs="Times New Roman"/>
          <w:b/>
          <w:color w:val="000000"/>
          <w:sz w:val="24"/>
          <w:szCs w:val="24"/>
        </w:rPr>
        <w:t xml:space="preserve"> </w:t>
      </w:r>
    </w:p>
    <w:p w:rsidR="0083336E" w:rsidRPr="0083336E" w:rsidRDefault="0083336E" w:rsidP="0083336E">
      <w:pPr>
        <w:spacing w:after="0"/>
        <w:jc w:val="both"/>
        <w:rPr>
          <w:rFonts w:ascii="Times New Roman" w:hAnsi="Times New Roman" w:cs="Times New Roman"/>
          <w:sz w:val="24"/>
          <w:szCs w:val="24"/>
        </w:rPr>
      </w:pPr>
      <w:r>
        <w:rPr>
          <w:rFonts w:ascii="Times New Roman" w:hAnsi="Times New Roman" w:cs="Times New Roman"/>
          <w:sz w:val="24"/>
          <w:szCs w:val="24"/>
        </w:rPr>
        <w:t>- Cobrança de custos adicionais;</w:t>
      </w:r>
    </w:p>
    <w:p w:rsidR="0083336E" w:rsidRPr="0083336E" w:rsidRDefault="00F05700" w:rsidP="0083336E">
      <w:pPr>
        <w:spacing w:after="0"/>
        <w:jc w:val="both"/>
        <w:rPr>
          <w:rFonts w:ascii="Times New Roman" w:hAnsi="Times New Roman" w:cs="Times New Roman"/>
          <w:sz w:val="24"/>
          <w:szCs w:val="24"/>
        </w:rPr>
      </w:pPr>
      <w:r w:rsidRPr="0083336E">
        <w:rPr>
          <w:rFonts w:ascii="Times New Roman" w:hAnsi="Times New Roman" w:cs="Times New Roman"/>
          <w:sz w:val="24"/>
          <w:szCs w:val="24"/>
        </w:rPr>
        <w:t>- A UFRPE não dispor de recursos suficientes para honrar seus compromissos</w:t>
      </w:r>
      <w:r w:rsidR="00F61CF2" w:rsidRPr="0083336E">
        <w:rPr>
          <w:rFonts w:ascii="Times New Roman" w:hAnsi="Times New Roman" w:cs="Times New Roman"/>
          <w:sz w:val="24"/>
          <w:szCs w:val="24"/>
        </w:rPr>
        <w:t>;</w:t>
      </w:r>
    </w:p>
    <w:p w:rsidR="0083336E" w:rsidRDefault="0083336E" w:rsidP="0083336E">
      <w:pPr>
        <w:spacing w:after="0"/>
        <w:jc w:val="both"/>
        <w:rPr>
          <w:rFonts w:ascii="Times New Roman" w:hAnsi="Times New Roman" w:cs="Times New Roman"/>
          <w:sz w:val="24"/>
          <w:szCs w:val="24"/>
        </w:rPr>
      </w:pPr>
      <w:r w:rsidRPr="0083336E">
        <w:rPr>
          <w:rFonts w:ascii="Times New Roman" w:hAnsi="Times New Roman" w:cs="Times New Roman"/>
          <w:sz w:val="24"/>
          <w:szCs w:val="24"/>
        </w:rPr>
        <w:t>- Ineficiência no gasto público.</w:t>
      </w:r>
    </w:p>
    <w:p w:rsidR="0083336E" w:rsidRPr="0083336E" w:rsidRDefault="0083336E" w:rsidP="0083336E">
      <w:pPr>
        <w:spacing w:after="0"/>
        <w:jc w:val="both"/>
        <w:rPr>
          <w:rFonts w:ascii="Times New Roman" w:hAnsi="Times New Roman" w:cs="Times New Roman"/>
          <w:sz w:val="24"/>
          <w:szCs w:val="24"/>
        </w:rPr>
      </w:pPr>
    </w:p>
    <w:p w:rsidR="00F05700" w:rsidRDefault="0021603F" w:rsidP="00F05700">
      <w:pPr>
        <w:spacing w:after="0"/>
        <w:jc w:val="both"/>
        <w:rPr>
          <w:rFonts w:ascii="Times New Roman" w:hAnsi="Times New Roman" w:cs="Times New Roman"/>
          <w:color w:val="FF0000"/>
          <w:sz w:val="24"/>
          <w:szCs w:val="24"/>
        </w:rPr>
      </w:pPr>
      <w:r w:rsidRPr="000A6B3B">
        <w:rPr>
          <w:rFonts w:ascii="Times New Roman" w:hAnsi="Times New Roman" w:cs="Times New Roman"/>
          <w:b/>
          <w:color w:val="000000"/>
          <w:sz w:val="24"/>
          <w:szCs w:val="24"/>
        </w:rPr>
        <w:t>Causas:</w:t>
      </w:r>
      <w:r w:rsidR="00F05700">
        <w:rPr>
          <w:rFonts w:ascii="Times New Roman" w:hAnsi="Times New Roman" w:cs="Times New Roman"/>
          <w:b/>
          <w:color w:val="000000"/>
          <w:sz w:val="24"/>
          <w:szCs w:val="24"/>
        </w:rPr>
        <w:t xml:space="preserve"> </w:t>
      </w:r>
    </w:p>
    <w:p w:rsidR="0083336E" w:rsidRDefault="0083336E" w:rsidP="0083336E">
      <w:pPr>
        <w:spacing w:after="0"/>
        <w:jc w:val="both"/>
        <w:rPr>
          <w:rFonts w:ascii="Times New Roman" w:hAnsi="Times New Roman" w:cs="Times New Roman"/>
          <w:sz w:val="24"/>
          <w:szCs w:val="24"/>
        </w:rPr>
      </w:pPr>
      <w:r w:rsidRPr="0083336E">
        <w:rPr>
          <w:rFonts w:ascii="Times New Roman" w:hAnsi="Times New Roman" w:cs="Times New Roman"/>
          <w:sz w:val="24"/>
          <w:szCs w:val="24"/>
        </w:rPr>
        <w:t xml:space="preserve">- Ausência de revisão contratual para a adequação dos parâmetros contratuais; </w:t>
      </w:r>
    </w:p>
    <w:p w:rsidR="0021603F" w:rsidRDefault="00F05700" w:rsidP="0021603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603F" w:rsidRPr="00F05700">
        <w:rPr>
          <w:rFonts w:ascii="Times New Roman" w:hAnsi="Times New Roman" w:cs="Times New Roman"/>
          <w:color w:val="000000"/>
          <w:sz w:val="24"/>
          <w:szCs w:val="24"/>
        </w:rPr>
        <w:t>Ausência de controles internos.</w:t>
      </w:r>
      <w:r w:rsidR="0021603F">
        <w:rPr>
          <w:rFonts w:ascii="Times New Roman" w:hAnsi="Times New Roman" w:cs="Times New Roman"/>
          <w:color w:val="000000"/>
          <w:sz w:val="24"/>
          <w:szCs w:val="24"/>
        </w:rPr>
        <w:t xml:space="preserve"> </w:t>
      </w:r>
    </w:p>
    <w:p w:rsidR="00F05700" w:rsidRPr="000A6B3B" w:rsidRDefault="00F05700" w:rsidP="0021603F">
      <w:pPr>
        <w:spacing w:after="0"/>
        <w:jc w:val="both"/>
        <w:rPr>
          <w:rFonts w:ascii="Times New Roman" w:hAnsi="Times New Roman" w:cs="Times New Roman"/>
          <w:color w:val="000000"/>
          <w:sz w:val="24"/>
          <w:szCs w:val="24"/>
        </w:rPr>
      </w:pPr>
    </w:p>
    <w:p w:rsidR="009C4FAA" w:rsidRDefault="0021603F" w:rsidP="00F05700">
      <w:pPr>
        <w:spacing w:after="0"/>
        <w:jc w:val="both"/>
        <w:rPr>
          <w:rFonts w:ascii="Times New Roman" w:hAnsi="Times New Roman" w:cs="Times New Roman"/>
          <w:color w:val="FF0000"/>
          <w:sz w:val="24"/>
          <w:szCs w:val="24"/>
        </w:rPr>
      </w:pPr>
      <w:r w:rsidRPr="000A6B3B">
        <w:rPr>
          <w:rFonts w:ascii="Times New Roman" w:hAnsi="Times New Roman" w:cs="Times New Roman"/>
          <w:b/>
          <w:color w:val="000000"/>
          <w:sz w:val="24"/>
          <w:szCs w:val="24"/>
        </w:rPr>
        <w:t>Impactos/consequências:</w:t>
      </w:r>
      <w:r w:rsidR="00F05700">
        <w:rPr>
          <w:rFonts w:ascii="Times New Roman" w:hAnsi="Times New Roman" w:cs="Times New Roman"/>
          <w:b/>
          <w:color w:val="000000"/>
          <w:sz w:val="24"/>
          <w:szCs w:val="24"/>
        </w:rPr>
        <w:t xml:space="preserve"> </w:t>
      </w:r>
    </w:p>
    <w:p w:rsidR="0083336E" w:rsidRPr="0083336E" w:rsidRDefault="0083336E" w:rsidP="00F05700">
      <w:pPr>
        <w:spacing w:after="0"/>
        <w:jc w:val="both"/>
        <w:rPr>
          <w:rFonts w:ascii="Times New Roman" w:hAnsi="Times New Roman" w:cs="Times New Roman"/>
          <w:sz w:val="24"/>
          <w:szCs w:val="24"/>
        </w:rPr>
      </w:pPr>
      <w:r w:rsidRPr="0083336E">
        <w:rPr>
          <w:rFonts w:ascii="Times New Roman" w:hAnsi="Times New Roman" w:cs="Times New Roman"/>
          <w:sz w:val="24"/>
          <w:szCs w:val="24"/>
        </w:rPr>
        <w:t>- Inadequação contratual;</w:t>
      </w:r>
    </w:p>
    <w:p w:rsidR="00F05700" w:rsidRPr="0083336E" w:rsidRDefault="00F05700" w:rsidP="0083336E">
      <w:pPr>
        <w:spacing w:after="0"/>
        <w:jc w:val="both"/>
        <w:rPr>
          <w:rFonts w:ascii="Times New Roman" w:hAnsi="Times New Roman" w:cs="Times New Roman"/>
          <w:sz w:val="24"/>
          <w:szCs w:val="24"/>
        </w:rPr>
      </w:pPr>
      <w:r w:rsidRPr="0083336E">
        <w:rPr>
          <w:rFonts w:ascii="Times New Roman" w:hAnsi="Times New Roman" w:cs="Times New Roman"/>
          <w:sz w:val="24"/>
          <w:szCs w:val="24"/>
        </w:rPr>
        <w:t xml:space="preserve">- Comprometimento da eficiência </w:t>
      </w:r>
      <w:r w:rsidR="0083336E" w:rsidRPr="0083336E">
        <w:rPr>
          <w:rFonts w:ascii="Times New Roman" w:hAnsi="Times New Roman" w:cs="Times New Roman"/>
          <w:sz w:val="24"/>
          <w:szCs w:val="24"/>
        </w:rPr>
        <w:t>do gasto público;</w:t>
      </w:r>
    </w:p>
    <w:p w:rsidR="0083336E" w:rsidRPr="0083336E" w:rsidRDefault="0083336E" w:rsidP="0083336E">
      <w:pPr>
        <w:spacing w:after="0"/>
        <w:jc w:val="both"/>
        <w:rPr>
          <w:rFonts w:ascii="Times New Roman" w:hAnsi="Times New Roman" w:cs="Times New Roman"/>
          <w:sz w:val="24"/>
          <w:szCs w:val="24"/>
        </w:rPr>
      </w:pPr>
      <w:r w:rsidRPr="0083336E">
        <w:rPr>
          <w:rFonts w:ascii="Times New Roman" w:hAnsi="Times New Roman" w:cs="Times New Roman"/>
          <w:sz w:val="24"/>
          <w:szCs w:val="24"/>
        </w:rPr>
        <w:t>- Pagamento de custos adicionais;</w:t>
      </w:r>
    </w:p>
    <w:p w:rsidR="00F05700" w:rsidRDefault="00F05700" w:rsidP="0083336E">
      <w:pPr>
        <w:spacing w:after="0"/>
        <w:jc w:val="both"/>
        <w:rPr>
          <w:rFonts w:ascii="Times New Roman" w:hAnsi="Times New Roman" w:cs="Times New Roman"/>
          <w:sz w:val="24"/>
          <w:szCs w:val="24"/>
        </w:rPr>
      </w:pPr>
      <w:r w:rsidRPr="0083336E">
        <w:rPr>
          <w:rFonts w:ascii="Times New Roman" w:hAnsi="Times New Roman" w:cs="Times New Roman"/>
          <w:sz w:val="24"/>
          <w:szCs w:val="24"/>
        </w:rPr>
        <w:t xml:space="preserve">- Indisponibilidade de recursos </w:t>
      </w:r>
      <w:r w:rsidR="0083336E">
        <w:rPr>
          <w:rFonts w:ascii="Times New Roman" w:hAnsi="Times New Roman" w:cs="Times New Roman"/>
          <w:sz w:val="24"/>
          <w:szCs w:val="24"/>
        </w:rPr>
        <w:t>devido ao</w:t>
      </w:r>
      <w:r w:rsidRPr="0083336E">
        <w:rPr>
          <w:rFonts w:ascii="Times New Roman" w:hAnsi="Times New Roman" w:cs="Times New Roman"/>
          <w:sz w:val="24"/>
          <w:szCs w:val="24"/>
        </w:rPr>
        <w:t xml:space="preserve"> pagamento de despesas </w:t>
      </w:r>
      <w:r w:rsidR="0083336E" w:rsidRPr="0083336E">
        <w:rPr>
          <w:rFonts w:ascii="Times New Roman" w:hAnsi="Times New Roman" w:cs="Times New Roman"/>
          <w:sz w:val="24"/>
          <w:szCs w:val="24"/>
        </w:rPr>
        <w:t>com custos adicionais;</w:t>
      </w:r>
    </w:p>
    <w:p w:rsidR="0083336E" w:rsidRPr="0083336E" w:rsidRDefault="0083336E" w:rsidP="0083336E">
      <w:pPr>
        <w:spacing w:after="0"/>
        <w:jc w:val="both"/>
        <w:rPr>
          <w:rFonts w:ascii="Times New Roman" w:hAnsi="Times New Roman" w:cs="Times New Roman"/>
          <w:sz w:val="24"/>
          <w:szCs w:val="24"/>
        </w:rPr>
      </w:pPr>
      <w:r>
        <w:rPr>
          <w:rFonts w:ascii="Times New Roman" w:hAnsi="Times New Roman" w:cs="Times New Roman"/>
          <w:sz w:val="24"/>
          <w:szCs w:val="24"/>
        </w:rPr>
        <w:t>- Menos recursos para investimentos em áreas prioritárias;</w:t>
      </w:r>
    </w:p>
    <w:p w:rsidR="00F05700" w:rsidRPr="000A6B3B" w:rsidRDefault="00F05700" w:rsidP="00EA1F9E">
      <w:pPr>
        <w:spacing w:after="0"/>
        <w:jc w:val="both"/>
        <w:rPr>
          <w:rFonts w:ascii="Times New Roman" w:hAnsi="Times New Roman" w:cs="Times New Roman"/>
          <w:color w:val="000000"/>
          <w:sz w:val="24"/>
          <w:szCs w:val="24"/>
        </w:rPr>
      </w:pPr>
      <w:r w:rsidRPr="0083336E">
        <w:rPr>
          <w:rFonts w:ascii="Times New Roman" w:hAnsi="Times New Roman" w:cs="Times New Roman"/>
          <w:sz w:val="24"/>
          <w:szCs w:val="24"/>
        </w:rPr>
        <w:t>- Prejuízo para a Instituição pelo aumento do gasto público</w:t>
      </w:r>
      <w:r w:rsidR="0083336E" w:rsidRPr="0083336E">
        <w:rPr>
          <w:rFonts w:ascii="Times New Roman" w:hAnsi="Times New Roman" w:cs="Times New Roman"/>
          <w:sz w:val="24"/>
          <w:szCs w:val="24"/>
        </w:rPr>
        <w:t>.</w:t>
      </w:r>
    </w:p>
    <w:p w:rsidR="0021603F" w:rsidRDefault="0021603F" w:rsidP="0021603F">
      <w:pPr>
        <w:spacing w:after="0"/>
        <w:jc w:val="both"/>
        <w:rPr>
          <w:rFonts w:ascii="Times New Roman" w:hAnsi="Times New Roman" w:cs="Times New Roman"/>
          <w:color w:val="000000"/>
          <w:sz w:val="24"/>
          <w:szCs w:val="24"/>
        </w:rPr>
      </w:pPr>
    </w:p>
    <w:p w:rsidR="0021603F" w:rsidRPr="000A6B3B" w:rsidRDefault="0021603F" w:rsidP="0021603F">
      <w:pPr>
        <w:spacing w:after="0"/>
        <w:jc w:val="both"/>
        <w:rPr>
          <w:rFonts w:ascii="Times New Roman" w:hAnsi="Times New Roman" w:cs="Times New Roman"/>
          <w:b/>
          <w:color w:val="000000"/>
          <w:sz w:val="24"/>
          <w:szCs w:val="24"/>
        </w:rPr>
      </w:pPr>
      <w:r w:rsidRPr="000A6B3B">
        <w:rPr>
          <w:rFonts w:ascii="Times New Roman" w:hAnsi="Times New Roman" w:cs="Times New Roman"/>
          <w:b/>
          <w:color w:val="000000"/>
          <w:sz w:val="24"/>
          <w:szCs w:val="24"/>
        </w:rPr>
        <w:t>Classificação do nível de risco = Nível de probabilidade X Nível de Impacto</w:t>
      </w:r>
    </w:p>
    <w:p w:rsidR="0021603F" w:rsidRPr="000A6B3B" w:rsidRDefault="0021603F" w:rsidP="0021603F">
      <w:pPr>
        <w:spacing w:after="0"/>
        <w:jc w:val="both"/>
        <w:rPr>
          <w:rFonts w:ascii="Times New Roman" w:hAnsi="Times New Roman" w:cs="Times New Roman"/>
          <w:color w:val="000000"/>
          <w:sz w:val="24"/>
          <w:szCs w:val="24"/>
        </w:rPr>
      </w:pPr>
    </w:p>
    <w:p w:rsidR="0021603F" w:rsidRPr="00EA1F9E" w:rsidRDefault="0021603F" w:rsidP="0021603F">
      <w:pPr>
        <w:spacing w:after="0"/>
        <w:jc w:val="both"/>
        <w:rPr>
          <w:rFonts w:ascii="Times New Roman" w:hAnsi="Times New Roman" w:cs="Times New Roman"/>
          <w:color w:val="000000"/>
          <w:sz w:val="24"/>
          <w:szCs w:val="24"/>
        </w:rPr>
      </w:pPr>
      <w:r w:rsidRPr="00EA1F9E">
        <w:rPr>
          <w:rFonts w:ascii="Times New Roman" w:hAnsi="Times New Roman" w:cs="Times New Roman"/>
          <w:color w:val="000000"/>
          <w:sz w:val="24"/>
          <w:szCs w:val="24"/>
        </w:rPr>
        <w:t xml:space="preserve">Nível de probabilidade (identificado pela AUDIN) = </w:t>
      </w:r>
      <w:r w:rsidRPr="00EA1F9E">
        <w:rPr>
          <w:rFonts w:ascii="Times New Roman" w:hAnsi="Times New Roman" w:cs="Times New Roman"/>
          <w:b/>
          <w:color w:val="000000"/>
          <w:sz w:val="24"/>
          <w:szCs w:val="24"/>
          <w:u w:val="single"/>
        </w:rPr>
        <w:t>Alto</w:t>
      </w:r>
    </w:p>
    <w:p w:rsidR="0021603F" w:rsidRPr="00EA1F9E" w:rsidRDefault="0021603F" w:rsidP="0021603F">
      <w:pPr>
        <w:spacing w:after="0"/>
        <w:jc w:val="both"/>
        <w:rPr>
          <w:rFonts w:ascii="Times New Roman" w:hAnsi="Times New Roman" w:cs="Times New Roman"/>
          <w:color w:val="000000"/>
          <w:sz w:val="24"/>
          <w:szCs w:val="24"/>
        </w:rPr>
      </w:pPr>
      <w:r w:rsidRPr="00EA1F9E">
        <w:rPr>
          <w:rFonts w:ascii="Times New Roman" w:hAnsi="Times New Roman" w:cs="Times New Roman"/>
          <w:color w:val="000000"/>
          <w:sz w:val="24"/>
          <w:szCs w:val="24"/>
        </w:rPr>
        <w:t xml:space="preserve">Nível de impacto (identificado pela AUDIN) = </w:t>
      </w:r>
      <w:r w:rsidRPr="00EA1F9E">
        <w:rPr>
          <w:rFonts w:ascii="Times New Roman" w:hAnsi="Times New Roman" w:cs="Times New Roman"/>
          <w:b/>
          <w:color w:val="000000"/>
          <w:sz w:val="24"/>
          <w:szCs w:val="24"/>
          <w:u w:val="single"/>
        </w:rPr>
        <w:t>Alto</w:t>
      </w:r>
    </w:p>
    <w:p w:rsidR="0021603F" w:rsidRPr="000A6B3B" w:rsidRDefault="0021603F" w:rsidP="0021603F">
      <w:pPr>
        <w:spacing w:after="0"/>
        <w:jc w:val="both"/>
        <w:rPr>
          <w:rFonts w:ascii="Times New Roman" w:hAnsi="Times New Roman" w:cs="Times New Roman"/>
          <w:b/>
          <w:color w:val="000000"/>
          <w:sz w:val="24"/>
          <w:szCs w:val="24"/>
          <w:u w:val="single"/>
        </w:rPr>
      </w:pPr>
      <w:r w:rsidRPr="00EA1F9E">
        <w:rPr>
          <w:rFonts w:ascii="Times New Roman" w:hAnsi="Times New Roman" w:cs="Times New Roman"/>
          <w:color w:val="000000"/>
          <w:sz w:val="24"/>
          <w:szCs w:val="24"/>
        </w:rPr>
        <w:t xml:space="preserve">Nível de Risco = </w:t>
      </w:r>
      <w:r w:rsidRPr="00EA1F9E">
        <w:rPr>
          <w:rFonts w:ascii="Times New Roman" w:hAnsi="Times New Roman" w:cs="Times New Roman"/>
          <w:b/>
          <w:color w:val="000000"/>
          <w:sz w:val="24"/>
          <w:szCs w:val="24"/>
          <w:u w:val="single"/>
        </w:rPr>
        <w:t>Alto</w:t>
      </w:r>
    </w:p>
    <w:p w:rsidR="0021603F" w:rsidRPr="000A6B3B" w:rsidRDefault="0021603F" w:rsidP="0021603F">
      <w:pPr>
        <w:spacing w:after="0"/>
        <w:jc w:val="both"/>
        <w:rPr>
          <w:rFonts w:ascii="Times New Roman" w:hAnsi="Times New Roman" w:cs="Times New Roman"/>
          <w:b/>
          <w:color w:val="000000"/>
          <w:sz w:val="24"/>
          <w:szCs w:val="24"/>
          <w:u w:val="single"/>
        </w:rPr>
      </w:pPr>
    </w:p>
    <w:p w:rsidR="00893B83" w:rsidRDefault="00893B83" w:rsidP="0021603F">
      <w:pPr>
        <w:spacing w:after="0"/>
        <w:jc w:val="center"/>
        <w:rPr>
          <w:rFonts w:ascii="Times New Roman" w:hAnsi="Times New Roman" w:cs="Times New Roman"/>
          <w:b/>
          <w:color w:val="000000"/>
          <w:sz w:val="24"/>
          <w:szCs w:val="24"/>
        </w:rPr>
      </w:pPr>
    </w:p>
    <w:p w:rsidR="0021603F" w:rsidRDefault="0021603F" w:rsidP="0021603F">
      <w:pPr>
        <w:spacing w:after="0"/>
        <w:jc w:val="center"/>
        <w:rPr>
          <w:rFonts w:ascii="Times New Roman" w:hAnsi="Times New Roman" w:cs="Times New Roman"/>
          <w:b/>
          <w:color w:val="000000"/>
          <w:sz w:val="24"/>
          <w:szCs w:val="24"/>
        </w:rPr>
      </w:pPr>
      <w:r w:rsidRPr="000A6B3B">
        <w:rPr>
          <w:rFonts w:ascii="Times New Roman" w:hAnsi="Times New Roman" w:cs="Times New Roman"/>
          <w:b/>
          <w:color w:val="000000"/>
          <w:sz w:val="24"/>
          <w:szCs w:val="24"/>
        </w:rPr>
        <w:t>CLASSIFICAÇÃO DO RISCO IDENTIFICADO</w:t>
      </w:r>
    </w:p>
    <w:p w:rsidR="0021603F" w:rsidRPr="000A6B3B" w:rsidRDefault="0021603F" w:rsidP="0021603F">
      <w:pPr>
        <w:spacing w:after="0"/>
        <w:jc w:val="both"/>
        <w:rPr>
          <w:rFonts w:ascii="Times New Roman" w:hAnsi="Times New Roman" w:cs="Times New Roman"/>
          <w:color w:val="000000"/>
          <w:sz w:val="24"/>
          <w:szCs w:val="24"/>
        </w:rPr>
      </w:pPr>
      <w:r w:rsidRPr="000A6B3B">
        <w:rPr>
          <w:rFonts w:ascii="Times New Roman" w:hAnsi="Times New Roman" w:cs="Times New Roman"/>
          <w:noProof/>
          <w:sz w:val="24"/>
          <w:szCs w:val="24"/>
          <w:lang w:eastAsia="pt-BR"/>
        </w:rPr>
        <w:drawing>
          <wp:anchor distT="0" distB="0" distL="114300" distR="114300" simplePos="0" relativeHeight="251663360" behindDoc="1" locked="0" layoutInCell="1" allowOverlap="1">
            <wp:simplePos x="0" y="0"/>
            <wp:positionH relativeFrom="column">
              <wp:posOffset>1165908</wp:posOffset>
            </wp:positionH>
            <wp:positionV relativeFrom="paragraph">
              <wp:posOffset>62865</wp:posOffset>
            </wp:positionV>
            <wp:extent cx="3743325" cy="1895475"/>
            <wp:effectExtent l="19050" t="0" r="9525" b="0"/>
            <wp:wrapNone/>
            <wp:docPr id="8"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3743325" cy="1895475"/>
                    </a:xfrm>
                    <a:prstGeom prst="rect">
                      <a:avLst/>
                    </a:prstGeom>
                    <a:noFill/>
                  </pic:spPr>
                </pic:pic>
              </a:graphicData>
            </a:graphic>
          </wp:anchor>
        </w:drawing>
      </w:r>
    </w:p>
    <w:p w:rsidR="0021603F" w:rsidRPr="000A6B3B" w:rsidRDefault="0021603F" w:rsidP="0021603F">
      <w:pPr>
        <w:spacing w:after="0"/>
        <w:jc w:val="both"/>
        <w:rPr>
          <w:rFonts w:ascii="Times New Roman" w:hAnsi="Times New Roman" w:cs="Times New Roman"/>
          <w:color w:val="000000"/>
          <w:sz w:val="24"/>
          <w:szCs w:val="24"/>
        </w:rPr>
      </w:pPr>
    </w:p>
    <w:p w:rsidR="0021603F" w:rsidRPr="000A6B3B" w:rsidRDefault="0021603F" w:rsidP="0021603F">
      <w:pPr>
        <w:spacing w:after="0"/>
        <w:jc w:val="both"/>
        <w:rPr>
          <w:rFonts w:ascii="Times New Roman" w:hAnsi="Times New Roman" w:cs="Times New Roman"/>
          <w:color w:val="000000"/>
          <w:sz w:val="24"/>
          <w:szCs w:val="24"/>
        </w:rPr>
      </w:pPr>
    </w:p>
    <w:p w:rsidR="0021603F" w:rsidRPr="000A6B3B" w:rsidRDefault="0021603F" w:rsidP="0021603F">
      <w:pPr>
        <w:spacing w:after="0"/>
        <w:jc w:val="both"/>
        <w:rPr>
          <w:rFonts w:ascii="Times New Roman" w:hAnsi="Times New Roman" w:cs="Times New Roman"/>
          <w:color w:val="000000"/>
          <w:sz w:val="24"/>
          <w:szCs w:val="24"/>
        </w:rPr>
      </w:pPr>
    </w:p>
    <w:p w:rsidR="0021603F" w:rsidRPr="000A6B3B" w:rsidRDefault="00DC59CB" w:rsidP="0021603F">
      <w:pPr>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pict>
          <v:oval id="_x0000_s1028" style="position:absolute;left:0;text-align:left;margin-left:202.4pt;margin-top:1pt;width:49.5pt;height:30.9pt;z-index:251664384" filled="f" strokecolor="#548dd4" strokeweight="3pt"/>
        </w:pict>
      </w:r>
    </w:p>
    <w:p w:rsidR="0021603F" w:rsidRPr="000A6B3B" w:rsidRDefault="0021603F" w:rsidP="0021603F">
      <w:pPr>
        <w:spacing w:after="0"/>
        <w:jc w:val="both"/>
        <w:rPr>
          <w:rFonts w:ascii="Times New Roman" w:hAnsi="Times New Roman" w:cs="Times New Roman"/>
          <w:color w:val="000000"/>
          <w:sz w:val="24"/>
          <w:szCs w:val="24"/>
        </w:rPr>
      </w:pPr>
    </w:p>
    <w:p w:rsidR="0021603F" w:rsidRPr="000A6B3B" w:rsidRDefault="0021603F" w:rsidP="0021603F">
      <w:pPr>
        <w:spacing w:after="0"/>
        <w:jc w:val="both"/>
        <w:rPr>
          <w:rFonts w:ascii="Times New Roman" w:hAnsi="Times New Roman" w:cs="Times New Roman"/>
          <w:color w:val="000000"/>
          <w:sz w:val="24"/>
          <w:szCs w:val="24"/>
        </w:rPr>
      </w:pPr>
    </w:p>
    <w:p w:rsidR="0021603F" w:rsidRPr="000A6B3B" w:rsidRDefault="0021603F" w:rsidP="0021603F">
      <w:pPr>
        <w:spacing w:after="0"/>
        <w:jc w:val="both"/>
        <w:rPr>
          <w:rFonts w:ascii="Times New Roman" w:hAnsi="Times New Roman" w:cs="Times New Roman"/>
          <w:color w:val="000000"/>
          <w:sz w:val="24"/>
          <w:szCs w:val="24"/>
        </w:rPr>
      </w:pPr>
    </w:p>
    <w:p w:rsidR="0021603F" w:rsidRPr="000A6B3B" w:rsidRDefault="0021603F" w:rsidP="0021603F">
      <w:pPr>
        <w:spacing w:after="0"/>
        <w:jc w:val="both"/>
        <w:rPr>
          <w:rFonts w:ascii="Times New Roman" w:hAnsi="Times New Roman" w:cs="Times New Roman"/>
          <w:color w:val="000000"/>
          <w:sz w:val="24"/>
          <w:szCs w:val="24"/>
        </w:rPr>
      </w:pPr>
      <w:r w:rsidRPr="000A6B3B">
        <w:rPr>
          <w:rFonts w:ascii="Times New Roman" w:hAnsi="Times New Roman" w:cs="Times New Roman"/>
          <w:color w:val="000000"/>
          <w:sz w:val="24"/>
          <w:szCs w:val="24"/>
        </w:rPr>
        <w:tab/>
      </w:r>
      <w:r w:rsidRPr="000A6B3B">
        <w:rPr>
          <w:rFonts w:ascii="Times New Roman" w:hAnsi="Times New Roman" w:cs="Times New Roman"/>
          <w:color w:val="000000"/>
          <w:sz w:val="24"/>
          <w:szCs w:val="24"/>
        </w:rPr>
        <w:tab/>
        <w:t xml:space="preserve">        </w:t>
      </w:r>
    </w:p>
    <w:p w:rsidR="0021603F" w:rsidRPr="000A6B3B" w:rsidRDefault="0021603F" w:rsidP="0021603F">
      <w:pPr>
        <w:spacing w:after="0"/>
        <w:jc w:val="both"/>
        <w:rPr>
          <w:rFonts w:ascii="Times New Roman" w:hAnsi="Times New Roman" w:cs="Times New Roman"/>
          <w:color w:val="000000"/>
          <w:sz w:val="24"/>
          <w:szCs w:val="24"/>
        </w:rPr>
      </w:pPr>
    </w:p>
    <w:p w:rsidR="0021603F" w:rsidRPr="00C653FB" w:rsidRDefault="0021603F" w:rsidP="0021603F">
      <w:pPr>
        <w:pStyle w:val="PargrafodaLista"/>
        <w:numPr>
          <w:ilvl w:val="0"/>
          <w:numId w:val="8"/>
        </w:numPr>
        <w:suppressAutoHyphens/>
        <w:spacing w:after="0"/>
        <w:contextualSpacing w:val="0"/>
        <w:jc w:val="center"/>
        <w:rPr>
          <w:rFonts w:ascii="Times New Roman" w:hAnsi="Times New Roman" w:cs="Times New Roman"/>
          <w:color w:val="000000"/>
          <w:sz w:val="20"/>
          <w:szCs w:val="20"/>
        </w:rPr>
      </w:pPr>
      <w:r w:rsidRPr="00C653FB">
        <w:rPr>
          <w:rFonts w:ascii="Times New Roman" w:hAnsi="Times New Roman" w:cs="Times New Roman"/>
          <w:color w:val="000000"/>
          <w:sz w:val="20"/>
          <w:szCs w:val="20"/>
        </w:rPr>
        <w:t>Fonte: adaptado do Diagrama de Verificação de Risco aplicado em Auditoria (TCU/2010)</w:t>
      </w:r>
    </w:p>
    <w:p w:rsidR="00472D0C" w:rsidRPr="00E06EF1" w:rsidRDefault="00472D0C" w:rsidP="00E06EF1">
      <w:pPr>
        <w:spacing w:after="0"/>
        <w:jc w:val="both"/>
        <w:rPr>
          <w:rFonts w:ascii="Times New Roman" w:hAnsi="Times New Roman" w:cs="Times New Roman"/>
          <w:sz w:val="24"/>
          <w:szCs w:val="24"/>
        </w:rPr>
      </w:pPr>
    </w:p>
    <w:p w:rsidR="004D5314" w:rsidRDefault="004D5314" w:rsidP="00E90B00">
      <w:pPr>
        <w:autoSpaceDE w:val="0"/>
        <w:autoSpaceDN w:val="0"/>
        <w:adjustRightInd w:val="0"/>
        <w:spacing w:after="0"/>
        <w:jc w:val="both"/>
        <w:rPr>
          <w:rFonts w:ascii="Times New Roman" w:hAnsi="Times New Roman" w:cs="Times New Roman"/>
          <w:b/>
          <w:color w:val="000000"/>
          <w:sz w:val="24"/>
          <w:szCs w:val="24"/>
        </w:rPr>
      </w:pPr>
    </w:p>
    <w:p w:rsidR="008D51B5" w:rsidRPr="00E06EF1" w:rsidRDefault="008D51B5" w:rsidP="00E90B00">
      <w:pPr>
        <w:autoSpaceDE w:val="0"/>
        <w:autoSpaceDN w:val="0"/>
        <w:adjustRightInd w:val="0"/>
        <w:spacing w:after="0"/>
        <w:jc w:val="both"/>
        <w:rPr>
          <w:rFonts w:ascii="Times New Roman" w:hAnsi="Times New Roman" w:cs="Times New Roman"/>
          <w:b/>
          <w:color w:val="000000"/>
          <w:sz w:val="24"/>
          <w:szCs w:val="24"/>
        </w:rPr>
      </w:pPr>
      <w:r w:rsidRPr="00E06EF1">
        <w:rPr>
          <w:rFonts w:ascii="Times New Roman" w:hAnsi="Times New Roman" w:cs="Times New Roman"/>
          <w:b/>
          <w:color w:val="000000"/>
          <w:sz w:val="24"/>
          <w:szCs w:val="24"/>
        </w:rPr>
        <w:lastRenderedPageBreak/>
        <w:t>RECOMENDAÇÕES</w:t>
      </w:r>
    </w:p>
    <w:p w:rsidR="008D51B5" w:rsidRPr="00E06EF1" w:rsidRDefault="008D51B5" w:rsidP="00E90B00">
      <w:pPr>
        <w:autoSpaceDE w:val="0"/>
        <w:autoSpaceDN w:val="0"/>
        <w:adjustRightInd w:val="0"/>
        <w:spacing w:after="0"/>
        <w:jc w:val="both"/>
        <w:rPr>
          <w:rFonts w:ascii="Times New Roman" w:hAnsi="Times New Roman" w:cs="Times New Roman"/>
          <w:b/>
          <w:color w:val="000000"/>
          <w:sz w:val="24"/>
          <w:szCs w:val="24"/>
        </w:rPr>
      </w:pPr>
    </w:p>
    <w:p w:rsidR="004C60EB" w:rsidRDefault="005F1D1D" w:rsidP="005F1D1D">
      <w:pPr>
        <w:pStyle w:val="PargrafodaLista"/>
        <w:ind w:left="0"/>
        <w:jc w:val="both"/>
        <w:rPr>
          <w:rFonts w:ascii="Times New Roman" w:hAnsi="Times New Roman" w:cs="Times New Roman"/>
          <w:b/>
          <w:color w:val="000000"/>
          <w:sz w:val="24"/>
          <w:szCs w:val="24"/>
        </w:rPr>
      </w:pPr>
      <w:r w:rsidRPr="00E06EF1">
        <w:rPr>
          <w:rFonts w:ascii="Times New Roman" w:hAnsi="Times New Roman" w:cs="Times New Roman"/>
          <w:b/>
          <w:color w:val="000000"/>
          <w:sz w:val="24"/>
          <w:szCs w:val="24"/>
        </w:rPr>
        <w:t>Recomendação 00</w:t>
      </w:r>
      <w:r w:rsidR="00862127">
        <w:rPr>
          <w:rFonts w:ascii="Times New Roman" w:hAnsi="Times New Roman" w:cs="Times New Roman"/>
          <w:b/>
          <w:color w:val="000000"/>
          <w:sz w:val="24"/>
          <w:szCs w:val="24"/>
        </w:rPr>
        <w:t>1</w:t>
      </w:r>
    </w:p>
    <w:p w:rsidR="00B430BE" w:rsidRPr="00E06EF1" w:rsidRDefault="00B4385C" w:rsidP="005F1D1D">
      <w:pPr>
        <w:pStyle w:val="Pargrafoda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 a UFRPE avalie junto aos setores competentes a </w:t>
      </w:r>
      <w:r w:rsidRPr="00B4385C">
        <w:rPr>
          <w:rFonts w:ascii="Times New Roman" w:hAnsi="Times New Roman" w:cs="Times New Roman"/>
          <w:color w:val="000000"/>
          <w:sz w:val="24"/>
          <w:szCs w:val="24"/>
          <w:u w:val="single"/>
        </w:rPr>
        <w:t>adequação da demanda contratada</w:t>
      </w:r>
      <w:r>
        <w:rPr>
          <w:rFonts w:ascii="Times New Roman" w:hAnsi="Times New Roman" w:cs="Times New Roman"/>
          <w:color w:val="000000"/>
          <w:sz w:val="24"/>
          <w:szCs w:val="24"/>
        </w:rPr>
        <w:t xml:space="preserve"> pelo fornecimento de energia elétrica dos contratos </w:t>
      </w:r>
      <w:r w:rsidR="004E2DBC">
        <w:rPr>
          <w:rFonts w:ascii="Times New Roman" w:hAnsi="Times New Roman" w:cs="Times New Roman"/>
          <w:color w:val="000000"/>
          <w:sz w:val="24"/>
          <w:szCs w:val="24"/>
        </w:rPr>
        <w:t xml:space="preserve">de média/alta tensão (13.800V) </w:t>
      </w:r>
      <w:r>
        <w:rPr>
          <w:rFonts w:ascii="Times New Roman" w:hAnsi="Times New Roman" w:cs="Times New Roman"/>
          <w:color w:val="000000"/>
          <w:sz w:val="24"/>
          <w:szCs w:val="24"/>
        </w:rPr>
        <w:t>que apres</w:t>
      </w:r>
      <w:r w:rsidR="004E2DBC">
        <w:rPr>
          <w:rFonts w:ascii="Times New Roman" w:hAnsi="Times New Roman" w:cs="Times New Roman"/>
          <w:color w:val="000000"/>
          <w:sz w:val="24"/>
          <w:szCs w:val="24"/>
        </w:rPr>
        <w:t>entam oportunidade de melhorias</w:t>
      </w:r>
      <w:r w:rsidR="00582672">
        <w:rPr>
          <w:rFonts w:ascii="Times New Roman" w:hAnsi="Times New Roman" w:cs="Times New Roman"/>
          <w:color w:val="000000"/>
          <w:sz w:val="24"/>
          <w:szCs w:val="24"/>
        </w:rPr>
        <w:t>, de modo a proceder à</w:t>
      </w:r>
      <w:r w:rsidR="00C776C7">
        <w:rPr>
          <w:rFonts w:ascii="Times New Roman" w:hAnsi="Times New Roman" w:cs="Times New Roman"/>
          <w:color w:val="000000"/>
          <w:sz w:val="24"/>
          <w:szCs w:val="24"/>
        </w:rPr>
        <w:t>s alterações contratuais necessárias para reduzir as despesas com energia</w:t>
      </w:r>
      <w:r w:rsidR="004E2DB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F1D1D" w:rsidRDefault="005F1D1D" w:rsidP="00E43D22">
      <w:pPr>
        <w:pStyle w:val="PargrafodaLista"/>
        <w:ind w:left="0"/>
        <w:rPr>
          <w:rFonts w:ascii="Times New Roman" w:hAnsi="Times New Roman" w:cs="Times New Roman"/>
          <w:color w:val="000000"/>
          <w:sz w:val="24"/>
          <w:szCs w:val="24"/>
        </w:rPr>
      </w:pPr>
    </w:p>
    <w:p w:rsidR="00C87796" w:rsidRDefault="00C87796" w:rsidP="00C87796">
      <w:pPr>
        <w:pStyle w:val="PargrafodaLista"/>
        <w:ind w:left="0"/>
        <w:rPr>
          <w:rFonts w:ascii="Times New Roman" w:hAnsi="Times New Roman" w:cs="Times New Roman"/>
          <w:b/>
          <w:color w:val="000000"/>
          <w:sz w:val="24"/>
          <w:szCs w:val="24"/>
        </w:rPr>
      </w:pPr>
      <w:r w:rsidRPr="006721FE">
        <w:rPr>
          <w:rFonts w:ascii="Times New Roman" w:hAnsi="Times New Roman" w:cs="Times New Roman"/>
          <w:b/>
          <w:color w:val="000000"/>
          <w:sz w:val="24"/>
          <w:szCs w:val="24"/>
        </w:rPr>
        <w:t>Recomendação 002</w:t>
      </w:r>
    </w:p>
    <w:p w:rsidR="00C776C7" w:rsidRPr="00E06EF1" w:rsidRDefault="00F40892" w:rsidP="00C776C7">
      <w:pPr>
        <w:pStyle w:val="Pargrafoda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 a UFRPE avalie junto aos setores competentes a </w:t>
      </w:r>
      <w:r w:rsidRPr="00B4385C">
        <w:rPr>
          <w:rFonts w:ascii="Times New Roman" w:hAnsi="Times New Roman" w:cs="Times New Roman"/>
          <w:color w:val="000000"/>
          <w:sz w:val="24"/>
          <w:szCs w:val="24"/>
          <w:u w:val="single"/>
        </w:rPr>
        <w:t>adequação d</w:t>
      </w:r>
      <w:r>
        <w:rPr>
          <w:rFonts w:ascii="Times New Roman" w:hAnsi="Times New Roman" w:cs="Times New Roman"/>
          <w:color w:val="000000"/>
          <w:sz w:val="24"/>
          <w:szCs w:val="24"/>
          <w:u w:val="single"/>
        </w:rPr>
        <w:t>o enquadramento tarifário</w:t>
      </w:r>
      <w:r w:rsidRPr="00F408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dos contratos de energia elétrica em média/alta tensão (13.800V) que apresentam oportunidade de melhorias</w:t>
      </w:r>
      <w:r w:rsidR="00C776C7">
        <w:rPr>
          <w:rFonts w:ascii="Times New Roman" w:hAnsi="Times New Roman" w:cs="Times New Roman"/>
          <w:color w:val="000000"/>
          <w:sz w:val="24"/>
          <w:szCs w:val="24"/>
        </w:rPr>
        <w:t>,</w:t>
      </w:r>
      <w:r w:rsidR="00C776C7" w:rsidRPr="00C776C7">
        <w:rPr>
          <w:rFonts w:ascii="Times New Roman" w:hAnsi="Times New Roman" w:cs="Times New Roman"/>
          <w:color w:val="000000"/>
          <w:sz w:val="24"/>
          <w:szCs w:val="24"/>
        </w:rPr>
        <w:t xml:space="preserve"> </w:t>
      </w:r>
      <w:r w:rsidR="00C776C7">
        <w:rPr>
          <w:rFonts w:ascii="Times New Roman" w:hAnsi="Times New Roman" w:cs="Times New Roman"/>
          <w:color w:val="000000"/>
          <w:sz w:val="24"/>
          <w:szCs w:val="24"/>
        </w:rPr>
        <w:t xml:space="preserve">de modo a proceder </w:t>
      </w:r>
      <w:r w:rsidR="00582672">
        <w:rPr>
          <w:rFonts w:ascii="Times New Roman" w:hAnsi="Times New Roman" w:cs="Times New Roman"/>
          <w:color w:val="000000"/>
          <w:sz w:val="24"/>
          <w:szCs w:val="24"/>
        </w:rPr>
        <w:t>à</w:t>
      </w:r>
      <w:r w:rsidR="00C776C7">
        <w:rPr>
          <w:rFonts w:ascii="Times New Roman" w:hAnsi="Times New Roman" w:cs="Times New Roman"/>
          <w:color w:val="000000"/>
          <w:sz w:val="24"/>
          <w:szCs w:val="24"/>
        </w:rPr>
        <w:t xml:space="preserve">s alterações contratuais necessárias para reduzir as despesas com energia; </w:t>
      </w:r>
    </w:p>
    <w:p w:rsidR="00F40892" w:rsidRPr="00E06EF1" w:rsidRDefault="00F40892" w:rsidP="00F40892">
      <w:pPr>
        <w:pStyle w:val="PargrafodaLista"/>
        <w:ind w:left="0"/>
        <w:jc w:val="both"/>
        <w:rPr>
          <w:rFonts w:ascii="Times New Roman" w:hAnsi="Times New Roman" w:cs="Times New Roman"/>
          <w:color w:val="000000"/>
          <w:sz w:val="24"/>
          <w:szCs w:val="24"/>
        </w:rPr>
      </w:pPr>
    </w:p>
    <w:p w:rsidR="006721FE" w:rsidRDefault="004A266E" w:rsidP="00E43D22">
      <w:pPr>
        <w:pStyle w:val="PargrafodaLista"/>
        <w:ind w:left="0"/>
        <w:rPr>
          <w:rFonts w:ascii="Times New Roman" w:hAnsi="Times New Roman" w:cs="Times New Roman"/>
          <w:b/>
          <w:color w:val="000000"/>
          <w:sz w:val="24"/>
          <w:szCs w:val="24"/>
        </w:rPr>
      </w:pPr>
      <w:r>
        <w:rPr>
          <w:rFonts w:ascii="Times New Roman" w:hAnsi="Times New Roman" w:cs="Times New Roman"/>
          <w:b/>
          <w:color w:val="000000"/>
          <w:sz w:val="24"/>
          <w:szCs w:val="24"/>
        </w:rPr>
        <w:t>Recomendação 003</w:t>
      </w:r>
    </w:p>
    <w:p w:rsidR="00F2452F" w:rsidRPr="00F2452F" w:rsidRDefault="00F2452F" w:rsidP="00F2452F">
      <w:pPr>
        <w:pStyle w:val="PargrafodaLista"/>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 a UFRPE avalie junto aos setores competentes a </w:t>
      </w:r>
      <w:r w:rsidRPr="00F2452F">
        <w:rPr>
          <w:rFonts w:ascii="Times New Roman" w:hAnsi="Times New Roman" w:cs="Times New Roman"/>
          <w:color w:val="000000"/>
          <w:sz w:val="24"/>
          <w:szCs w:val="24"/>
        </w:rPr>
        <w:t xml:space="preserve">realização de estudo objetivando a </w:t>
      </w:r>
      <w:r w:rsidRPr="00F2452F">
        <w:rPr>
          <w:rFonts w:ascii="Times New Roman" w:hAnsi="Times New Roman" w:cs="Times New Roman"/>
          <w:color w:val="000000"/>
          <w:sz w:val="24"/>
          <w:szCs w:val="24"/>
          <w:u w:val="single"/>
        </w:rPr>
        <w:t>redução do consumo de energia reativa</w:t>
      </w:r>
      <w:r w:rsidRPr="00F2452F">
        <w:rPr>
          <w:rFonts w:ascii="Times New Roman" w:hAnsi="Times New Roman" w:cs="Times New Roman"/>
          <w:color w:val="000000"/>
          <w:sz w:val="24"/>
          <w:szCs w:val="24"/>
        </w:rPr>
        <w:t xml:space="preserve"> para manter o fator de potência igual ou superior a noventa e dois centésimos.  </w:t>
      </w:r>
    </w:p>
    <w:p w:rsidR="006721FE" w:rsidRPr="00E06EF1" w:rsidRDefault="006721FE" w:rsidP="00E43D22">
      <w:pPr>
        <w:pStyle w:val="PargrafodaLista"/>
        <w:ind w:left="0"/>
        <w:rPr>
          <w:rFonts w:ascii="Times New Roman" w:hAnsi="Times New Roman" w:cs="Times New Roman"/>
          <w:color w:val="000000"/>
          <w:sz w:val="24"/>
          <w:szCs w:val="24"/>
        </w:rPr>
      </w:pPr>
    </w:p>
    <w:p w:rsidR="00BA0618" w:rsidRDefault="00BA0618" w:rsidP="00BA0618">
      <w:pPr>
        <w:pStyle w:val="PargrafodaLista"/>
        <w:ind w:left="0"/>
        <w:rPr>
          <w:rFonts w:ascii="Times New Roman" w:hAnsi="Times New Roman" w:cs="Times New Roman"/>
          <w:color w:val="000000"/>
          <w:sz w:val="24"/>
          <w:szCs w:val="24"/>
        </w:rPr>
      </w:pPr>
      <w:r w:rsidRPr="00E06EF1">
        <w:rPr>
          <w:rFonts w:ascii="Times New Roman" w:hAnsi="Times New Roman" w:cs="Times New Roman"/>
          <w:b/>
          <w:color w:val="000000"/>
          <w:sz w:val="24"/>
          <w:szCs w:val="24"/>
        </w:rPr>
        <w:t>Prazo para atendimento:</w:t>
      </w:r>
      <w:r w:rsidRPr="00E06EF1">
        <w:rPr>
          <w:rFonts w:ascii="Times New Roman" w:hAnsi="Times New Roman" w:cs="Times New Roman"/>
          <w:color w:val="000000"/>
          <w:sz w:val="24"/>
          <w:szCs w:val="24"/>
        </w:rPr>
        <w:t xml:space="preserve"> Imediato</w:t>
      </w:r>
    </w:p>
    <w:p w:rsidR="002526DB" w:rsidRPr="00E06EF1" w:rsidRDefault="002526DB" w:rsidP="00BA0618">
      <w:pPr>
        <w:pStyle w:val="PargrafodaLista"/>
        <w:ind w:left="0"/>
        <w:rPr>
          <w:rFonts w:ascii="Times New Roman" w:hAnsi="Times New Roman" w:cs="Times New Roman"/>
          <w:color w:val="000000"/>
          <w:sz w:val="24"/>
          <w:szCs w:val="24"/>
        </w:rPr>
      </w:pPr>
    </w:p>
    <w:p w:rsidR="00EF7E63" w:rsidRPr="006721FE" w:rsidRDefault="006721FE" w:rsidP="00EF7E63">
      <w:pPr>
        <w:pStyle w:val="PargrafodaLista"/>
        <w:ind w:left="0"/>
        <w:jc w:val="both"/>
        <w:rPr>
          <w:rFonts w:ascii="Times New Roman" w:eastAsia="Times New Roman" w:hAnsi="Times New Roman" w:cs="Times New Roman"/>
          <w:b/>
          <w:color w:val="000000"/>
          <w:sz w:val="24"/>
        </w:rPr>
      </w:pPr>
      <w:bookmarkStart w:id="0" w:name="_GoBack"/>
      <w:bookmarkEnd w:id="0"/>
      <w:r w:rsidRPr="006721FE">
        <w:rPr>
          <w:rFonts w:ascii="Times New Roman" w:eastAsia="Times New Roman" w:hAnsi="Times New Roman" w:cs="Times New Roman"/>
          <w:b/>
          <w:color w:val="000000"/>
          <w:sz w:val="24"/>
        </w:rPr>
        <w:t>2</w:t>
      </w:r>
      <w:r w:rsidR="00EF7E63" w:rsidRPr="006721FE">
        <w:rPr>
          <w:rFonts w:ascii="Times New Roman" w:eastAsia="Times New Roman" w:hAnsi="Times New Roman" w:cs="Times New Roman"/>
          <w:b/>
          <w:color w:val="000000"/>
          <w:sz w:val="24"/>
        </w:rPr>
        <w:t>- CONCLUSÃO</w:t>
      </w:r>
    </w:p>
    <w:p w:rsidR="00EF7E63" w:rsidRPr="006721FE" w:rsidRDefault="00EF7E63" w:rsidP="00EF7E63">
      <w:pPr>
        <w:pStyle w:val="PargrafodaLista"/>
        <w:ind w:left="0"/>
        <w:jc w:val="both"/>
        <w:rPr>
          <w:rFonts w:ascii="Times New Roman" w:eastAsia="Times New Roman" w:hAnsi="Times New Roman" w:cs="Times New Roman"/>
          <w:b/>
          <w:color w:val="000000"/>
          <w:sz w:val="24"/>
        </w:rPr>
      </w:pPr>
    </w:p>
    <w:p w:rsidR="00EF7E63" w:rsidRPr="006721FE" w:rsidRDefault="00EF7E63" w:rsidP="00EF7E63">
      <w:pPr>
        <w:pStyle w:val="PargrafodaLista"/>
        <w:ind w:left="0"/>
        <w:jc w:val="both"/>
        <w:rPr>
          <w:rFonts w:ascii="Times New Roman" w:eastAsia="Times New Roman" w:hAnsi="Times New Roman" w:cs="Times New Roman"/>
          <w:color w:val="000000"/>
          <w:sz w:val="24"/>
        </w:rPr>
      </w:pPr>
      <w:r w:rsidRPr="00A32EC3">
        <w:rPr>
          <w:rFonts w:ascii="Times New Roman" w:eastAsia="Times New Roman" w:hAnsi="Times New Roman" w:cs="Times New Roman"/>
          <w:color w:val="000000"/>
          <w:sz w:val="24"/>
        </w:rPr>
        <w:t>Diante das informações apresentadas, enca</w:t>
      </w:r>
      <w:r w:rsidR="00BD27F0" w:rsidRPr="00A32EC3">
        <w:rPr>
          <w:rFonts w:ascii="Times New Roman" w:eastAsia="Times New Roman" w:hAnsi="Times New Roman" w:cs="Times New Roman"/>
          <w:color w:val="000000"/>
          <w:sz w:val="24"/>
        </w:rPr>
        <w:t>minhamos a presente Nota de Auditoria</w:t>
      </w:r>
      <w:r w:rsidRPr="00A32EC3">
        <w:rPr>
          <w:rFonts w:ascii="Times New Roman" w:eastAsia="Times New Roman" w:hAnsi="Times New Roman" w:cs="Times New Roman"/>
          <w:color w:val="000000"/>
          <w:sz w:val="24"/>
        </w:rPr>
        <w:t xml:space="preserve"> à Administração </w:t>
      </w:r>
      <w:r w:rsidR="00A32EC3" w:rsidRPr="00A32EC3">
        <w:rPr>
          <w:rFonts w:ascii="Times New Roman" w:eastAsia="Times New Roman" w:hAnsi="Times New Roman" w:cs="Times New Roman"/>
          <w:color w:val="000000"/>
          <w:sz w:val="24"/>
        </w:rPr>
        <w:t xml:space="preserve">Superior </w:t>
      </w:r>
      <w:r w:rsidRPr="00A32EC3">
        <w:rPr>
          <w:rFonts w:ascii="Times New Roman" w:eastAsia="Times New Roman" w:hAnsi="Times New Roman" w:cs="Times New Roman"/>
          <w:color w:val="000000"/>
          <w:sz w:val="24"/>
        </w:rPr>
        <w:t>e ao Conselho Uni</w:t>
      </w:r>
      <w:r w:rsidR="006721FE" w:rsidRPr="00A32EC3">
        <w:rPr>
          <w:rFonts w:ascii="Times New Roman" w:eastAsia="Times New Roman" w:hAnsi="Times New Roman" w:cs="Times New Roman"/>
          <w:color w:val="000000"/>
          <w:sz w:val="24"/>
        </w:rPr>
        <w:t xml:space="preserve">versitário </w:t>
      </w:r>
      <w:r w:rsidR="00D833EC">
        <w:rPr>
          <w:rFonts w:ascii="Times New Roman" w:eastAsia="Times New Roman" w:hAnsi="Times New Roman" w:cs="Times New Roman"/>
          <w:color w:val="000000"/>
          <w:sz w:val="24"/>
        </w:rPr>
        <w:t xml:space="preserve">desta IFES </w:t>
      </w:r>
      <w:r w:rsidR="006721FE" w:rsidRPr="00A32EC3">
        <w:rPr>
          <w:rFonts w:ascii="Times New Roman" w:eastAsia="Times New Roman" w:hAnsi="Times New Roman" w:cs="Times New Roman"/>
          <w:color w:val="000000"/>
          <w:sz w:val="24"/>
        </w:rPr>
        <w:t>para conhecimento e</w:t>
      </w:r>
      <w:r w:rsidRPr="00A32EC3">
        <w:rPr>
          <w:rFonts w:ascii="Times New Roman" w:eastAsia="Times New Roman" w:hAnsi="Times New Roman" w:cs="Times New Roman"/>
          <w:color w:val="000000"/>
          <w:sz w:val="24"/>
        </w:rPr>
        <w:t xml:space="preserve"> adoção das medidas cabíveis quanto à implementação</w:t>
      </w:r>
      <w:r w:rsidR="00F2452F">
        <w:rPr>
          <w:rFonts w:ascii="Times New Roman" w:eastAsia="Times New Roman" w:hAnsi="Times New Roman" w:cs="Times New Roman"/>
          <w:color w:val="000000"/>
          <w:sz w:val="24"/>
        </w:rPr>
        <w:t xml:space="preserve"> </w:t>
      </w:r>
      <w:r w:rsidRPr="00A32EC3">
        <w:rPr>
          <w:rFonts w:ascii="Times New Roman" w:eastAsia="Times New Roman" w:hAnsi="Times New Roman" w:cs="Times New Roman"/>
          <w:color w:val="000000"/>
          <w:sz w:val="24"/>
        </w:rPr>
        <w:t>da</w:t>
      </w:r>
      <w:r w:rsidR="00BD27F0" w:rsidRPr="00A32EC3">
        <w:rPr>
          <w:rFonts w:ascii="Times New Roman" w:eastAsia="Times New Roman" w:hAnsi="Times New Roman" w:cs="Times New Roman"/>
          <w:color w:val="000000"/>
          <w:sz w:val="24"/>
        </w:rPr>
        <w:t>s recomendações</w:t>
      </w:r>
      <w:r w:rsidR="00F2452F">
        <w:rPr>
          <w:rFonts w:ascii="Times New Roman" w:eastAsia="Times New Roman" w:hAnsi="Times New Roman" w:cs="Times New Roman"/>
          <w:color w:val="000000"/>
          <w:sz w:val="24"/>
        </w:rPr>
        <w:t xml:space="preserve"> aqui </w:t>
      </w:r>
      <w:r w:rsidR="00CE28E8">
        <w:rPr>
          <w:rFonts w:ascii="Times New Roman" w:eastAsia="Times New Roman" w:hAnsi="Times New Roman" w:cs="Times New Roman"/>
          <w:color w:val="000000"/>
          <w:sz w:val="24"/>
        </w:rPr>
        <w:t>propostas</w:t>
      </w:r>
      <w:r w:rsidR="00F2452F">
        <w:rPr>
          <w:rFonts w:ascii="Times New Roman" w:eastAsia="Times New Roman" w:hAnsi="Times New Roman" w:cs="Times New Roman"/>
          <w:color w:val="000000"/>
          <w:sz w:val="24"/>
        </w:rPr>
        <w:t>.</w:t>
      </w:r>
      <w:r w:rsidR="00BD27F0" w:rsidRPr="00A32EC3">
        <w:rPr>
          <w:rFonts w:ascii="Times New Roman" w:eastAsia="Times New Roman" w:hAnsi="Times New Roman" w:cs="Times New Roman"/>
          <w:color w:val="000000"/>
          <w:sz w:val="24"/>
        </w:rPr>
        <w:t xml:space="preserve"> </w:t>
      </w:r>
    </w:p>
    <w:p w:rsidR="00545A26" w:rsidRPr="000A6B3B" w:rsidRDefault="00545A26" w:rsidP="00545A26">
      <w:pPr>
        <w:spacing w:after="0"/>
        <w:jc w:val="center"/>
        <w:rPr>
          <w:rFonts w:ascii="Times New Roman" w:hAnsi="Times New Roman" w:cs="Times New Roman"/>
          <w:b/>
          <w:color w:val="000000"/>
          <w:sz w:val="24"/>
          <w:szCs w:val="24"/>
        </w:rPr>
      </w:pPr>
      <w:bookmarkStart w:id="1" w:name="__UnoMark__6766_114326417"/>
      <w:bookmarkStart w:id="2" w:name="__UnoMark__6765_114326417"/>
      <w:bookmarkStart w:id="3" w:name="__UnoMark__6768_114326417"/>
      <w:bookmarkStart w:id="4" w:name="__UnoMark__6767_114326417"/>
      <w:bookmarkStart w:id="5" w:name="__UnoMark__6770_114326417"/>
      <w:bookmarkStart w:id="6" w:name="__UnoMark__6769_114326417"/>
      <w:bookmarkStart w:id="7" w:name="__UnoMark__6772_114326417"/>
      <w:bookmarkStart w:id="8" w:name="__UnoMark__6771_114326417"/>
      <w:bookmarkStart w:id="9" w:name="__UnoMark__6774_114326417"/>
      <w:bookmarkStart w:id="10" w:name="__UnoMark__6773_114326417"/>
      <w:bookmarkStart w:id="11" w:name="__UnoMark__6775_114326417"/>
      <w:bookmarkEnd w:id="1"/>
      <w:bookmarkEnd w:id="2"/>
      <w:bookmarkEnd w:id="3"/>
      <w:bookmarkEnd w:id="4"/>
      <w:bookmarkEnd w:id="5"/>
      <w:bookmarkEnd w:id="6"/>
      <w:bookmarkEnd w:id="7"/>
      <w:bookmarkEnd w:id="8"/>
      <w:bookmarkEnd w:id="9"/>
      <w:bookmarkEnd w:id="10"/>
      <w:bookmarkEnd w:id="11"/>
      <w:r w:rsidRPr="000A6B3B">
        <w:rPr>
          <w:rFonts w:ascii="Times New Roman" w:hAnsi="Times New Roman" w:cs="Times New Roman"/>
          <w:b/>
          <w:color w:val="000000"/>
          <w:sz w:val="24"/>
          <w:szCs w:val="24"/>
        </w:rPr>
        <w:t xml:space="preserve">Recife, </w:t>
      </w:r>
      <w:r>
        <w:rPr>
          <w:rFonts w:ascii="Times New Roman" w:hAnsi="Times New Roman" w:cs="Times New Roman"/>
          <w:b/>
          <w:color w:val="000000"/>
          <w:sz w:val="24"/>
          <w:szCs w:val="24"/>
        </w:rPr>
        <w:t>18 de novembro</w:t>
      </w:r>
      <w:r w:rsidRPr="00174592">
        <w:rPr>
          <w:rFonts w:ascii="Times New Roman" w:hAnsi="Times New Roman" w:cs="Times New Roman"/>
          <w:b/>
          <w:color w:val="000000"/>
          <w:sz w:val="24"/>
          <w:szCs w:val="24"/>
        </w:rPr>
        <w:t xml:space="preserve"> de 2016</w:t>
      </w:r>
    </w:p>
    <w:p w:rsidR="00545A26" w:rsidRPr="000A6B3B" w:rsidRDefault="00545A26" w:rsidP="00545A26">
      <w:pPr>
        <w:spacing w:after="0"/>
        <w:jc w:val="center"/>
        <w:rPr>
          <w:rFonts w:ascii="Times New Roman" w:hAnsi="Times New Roman" w:cs="Times New Roman"/>
          <w:b/>
          <w:color w:val="000000"/>
          <w:sz w:val="24"/>
          <w:szCs w:val="24"/>
        </w:rPr>
      </w:pPr>
    </w:p>
    <w:p w:rsidR="00545A26" w:rsidRPr="000A6B3B" w:rsidRDefault="00545A26" w:rsidP="00545A26">
      <w:pPr>
        <w:spacing w:after="0"/>
        <w:jc w:val="center"/>
        <w:rPr>
          <w:rFonts w:ascii="Times New Roman" w:hAnsi="Times New Roman" w:cs="Times New Roman"/>
          <w:b/>
          <w:color w:val="000000"/>
          <w:sz w:val="24"/>
          <w:szCs w:val="24"/>
        </w:rPr>
      </w:pPr>
      <w:r w:rsidRPr="000A6B3B">
        <w:rPr>
          <w:rFonts w:ascii="Times New Roman" w:hAnsi="Times New Roman" w:cs="Times New Roman"/>
          <w:b/>
          <w:color w:val="000000"/>
          <w:sz w:val="24"/>
          <w:szCs w:val="24"/>
        </w:rPr>
        <w:t>____________________________________________</w:t>
      </w:r>
    </w:p>
    <w:p w:rsidR="00545A26" w:rsidRPr="000A6B3B" w:rsidRDefault="00545A26" w:rsidP="00545A26">
      <w:pPr>
        <w:spacing w:after="0"/>
        <w:jc w:val="center"/>
        <w:rPr>
          <w:rFonts w:ascii="Times New Roman" w:hAnsi="Times New Roman" w:cs="Times New Roman"/>
          <w:color w:val="000000"/>
          <w:sz w:val="24"/>
          <w:szCs w:val="24"/>
        </w:rPr>
      </w:pPr>
      <w:r w:rsidRPr="000A6B3B">
        <w:rPr>
          <w:rFonts w:ascii="Times New Roman" w:hAnsi="Times New Roman" w:cs="Times New Roman"/>
          <w:b/>
          <w:color w:val="000000"/>
          <w:sz w:val="24"/>
          <w:szCs w:val="24"/>
        </w:rPr>
        <w:t>Jane Nóbrega Farina</w:t>
      </w:r>
    </w:p>
    <w:p w:rsidR="00545A26" w:rsidRPr="000A6B3B" w:rsidRDefault="00545A26" w:rsidP="00545A26">
      <w:pPr>
        <w:spacing w:after="0"/>
        <w:jc w:val="center"/>
        <w:rPr>
          <w:rFonts w:ascii="Times New Roman" w:hAnsi="Times New Roman" w:cs="Times New Roman"/>
          <w:b/>
          <w:color w:val="000000"/>
          <w:sz w:val="24"/>
          <w:szCs w:val="24"/>
        </w:rPr>
      </w:pPr>
      <w:r w:rsidRPr="000A6B3B">
        <w:rPr>
          <w:rFonts w:ascii="Times New Roman" w:hAnsi="Times New Roman" w:cs="Times New Roman"/>
          <w:color w:val="000000"/>
          <w:sz w:val="24"/>
          <w:szCs w:val="24"/>
        </w:rPr>
        <w:t xml:space="preserve">Administradora – Mat. SIAPE: </w:t>
      </w:r>
      <w:r>
        <w:rPr>
          <w:rFonts w:ascii="Times New Roman" w:hAnsi="Times New Roman" w:cs="Times New Roman"/>
          <w:color w:val="000000"/>
          <w:sz w:val="24"/>
          <w:szCs w:val="24"/>
        </w:rPr>
        <w:t>0383273</w:t>
      </w:r>
    </w:p>
    <w:p w:rsidR="00545A26" w:rsidRPr="000A6B3B" w:rsidRDefault="00545A26" w:rsidP="00545A26">
      <w:pPr>
        <w:spacing w:after="0"/>
        <w:jc w:val="center"/>
        <w:rPr>
          <w:rFonts w:ascii="Times New Roman" w:hAnsi="Times New Roman" w:cs="Times New Roman"/>
          <w:b/>
          <w:color w:val="000000"/>
          <w:sz w:val="24"/>
          <w:szCs w:val="24"/>
        </w:rPr>
      </w:pPr>
    </w:p>
    <w:p w:rsidR="00545A26" w:rsidRDefault="00545A26" w:rsidP="00545A26">
      <w:pPr>
        <w:spacing w:after="0"/>
        <w:jc w:val="center"/>
        <w:rPr>
          <w:rFonts w:ascii="Times New Roman" w:hAnsi="Times New Roman" w:cs="Times New Roman"/>
          <w:b/>
          <w:color w:val="000000"/>
          <w:sz w:val="24"/>
          <w:szCs w:val="24"/>
        </w:rPr>
      </w:pPr>
    </w:p>
    <w:p w:rsidR="00545A26" w:rsidRPr="000A6B3B" w:rsidRDefault="00545A26" w:rsidP="00545A26">
      <w:pPr>
        <w:spacing w:after="0"/>
        <w:jc w:val="center"/>
        <w:rPr>
          <w:rFonts w:ascii="Times New Roman" w:hAnsi="Times New Roman" w:cs="Times New Roman"/>
          <w:b/>
          <w:color w:val="000000"/>
          <w:sz w:val="24"/>
          <w:szCs w:val="24"/>
        </w:rPr>
      </w:pPr>
      <w:r w:rsidRPr="000A6B3B">
        <w:rPr>
          <w:rFonts w:ascii="Times New Roman" w:hAnsi="Times New Roman" w:cs="Times New Roman"/>
          <w:b/>
          <w:color w:val="000000"/>
          <w:sz w:val="24"/>
          <w:szCs w:val="24"/>
        </w:rPr>
        <w:t>De acordo e revisado: _____/______/_________</w:t>
      </w:r>
    </w:p>
    <w:p w:rsidR="00545A26" w:rsidRPr="000A6B3B" w:rsidRDefault="00545A26" w:rsidP="00545A26">
      <w:pPr>
        <w:spacing w:after="0"/>
        <w:ind w:left="720"/>
        <w:jc w:val="center"/>
        <w:rPr>
          <w:rFonts w:ascii="Times New Roman" w:hAnsi="Times New Roman" w:cs="Times New Roman"/>
          <w:b/>
          <w:color w:val="000000"/>
          <w:sz w:val="24"/>
          <w:szCs w:val="24"/>
        </w:rPr>
      </w:pPr>
    </w:p>
    <w:p w:rsidR="00545A26" w:rsidRPr="000A6B3B" w:rsidRDefault="00545A26" w:rsidP="00545A26">
      <w:pPr>
        <w:spacing w:after="0"/>
        <w:jc w:val="center"/>
        <w:rPr>
          <w:rFonts w:ascii="Times New Roman" w:hAnsi="Times New Roman" w:cs="Times New Roman"/>
          <w:b/>
          <w:sz w:val="24"/>
          <w:szCs w:val="24"/>
        </w:rPr>
      </w:pPr>
      <w:r w:rsidRPr="000A6B3B">
        <w:rPr>
          <w:rFonts w:ascii="Times New Roman" w:hAnsi="Times New Roman" w:cs="Times New Roman"/>
          <w:b/>
          <w:color w:val="000000"/>
          <w:sz w:val="24"/>
          <w:szCs w:val="24"/>
        </w:rPr>
        <w:t>______________________________________________</w:t>
      </w:r>
    </w:p>
    <w:p w:rsidR="00545A26" w:rsidRPr="000A6B3B" w:rsidRDefault="00545A26" w:rsidP="00545A26">
      <w:pPr>
        <w:spacing w:after="0"/>
        <w:jc w:val="center"/>
        <w:rPr>
          <w:rFonts w:ascii="Times New Roman" w:hAnsi="Times New Roman" w:cs="Times New Roman"/>
          <w:color w:val="000000"/>
          <w:sz w:val="24"/>
          <w:szCs w:val="24"/>
        </w:rPr>
      </w:pPr>
      <w:r w:rsidRPr="000A6B3B">
        <w:rPr>
          <w:rFonts w:ascii="Times New Roman" w:hAnsi="Times New Roman" w:cs="Times New Roman"/>
          <w:b/>
          <w:sz w:val="24"/>
          <w:szCs w:val="24"/>
        </w:rPr>
        <w:t>Antônio Cândido de Souza Júnior</w:t>
      </w:r>
    </w:p>
    <w:p w:rsidR="00545A26" w:rsidRPr="000A6B3B" w:rsidRDefault="00545A26" w:rsidP="00545A26">
      <w:pPr>
        <w:spacing w:after="0"/>
        <w:jc w:val="center"/>
        <w:rPr>
          <w:rFonts w:ascii="Times New Roman" w:hAnsi="Times New Roman" w:cs="Times New Roman"/>
          <w:color w:val="000000"/>
          <w:sz w:val="24"/>
          <w:szCs w:val="24"/>
        </w:rPr>
      </w:pPr>
      <w:r w:rsidRPr="000A6B3B">
        <w:rPr>
          <w:rFonts w:ascii="Times New Roman" w:hAnsi="Times New Roman" w:cs="Times New Roman"/>
          <w:color w:val="000000"/>
          <w:sz w:val="24"/>
          <w:szCs w:val="24"/>
        </w:rPr>
        <w:t>Auditor Titular da Unidade de Auditoria Interna da UFRPE</w:t>
      </w:r>
    </w:p>
    <w:p w:rsidR="00B8167D" w:rsidRPr="00B8167D" w:rsidRDefault="00545A26" w:rsidP="00F2452F">
      <w:pPr>
        <w:spacing w:after="0"/>
        <w:jc w:val="center"/>
        <w:rPr>
          <w:sz w:val="24"/>
          <w:szCs w:val="24"/>
        </w:rPr>
      </w:pPr>
      <w:r w:rsidRPr="000A6B3B">
        <w:rPr>
          <w:rFonts w:ascii="Times New Roman" w:hAnsi="Times New Roman" w:cs="Times New Roman"/>
          <w:color w:val="000000"/>
          <w:sz w:val="24"/>
          <w:szCs w:val="24"/>
        </w:rPr>
        <w:t>Mat. SIAPE: 1657579</w:t>
      </w:r>
    </w:p>
    <w:sectPr w:rsidR="00B8167D" w:rsidRPr="00B8167D" w:rsidSect="004470EF">
      <w:pgSz w:w="11906" w:h="16838"/>
      <w:pgMar w:top="1417" w:right="1701" w:bottom="1417" w:left="1701" w:header="708" w:footer="4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F6" w:rsidRDefault="00BF35F6" w:rsidP="0007417B">
      <w:pPr>
        <w:spacing w:after="0" w:line="240" w:lineRule="auto"/>
      </w:pPr>
      <w:r>
        <w:separator/>
      </w:r>
    </w:p>
  </w:endnote>
  <w:endnote w:type="continuationSeparator" w:id="0">
    <w:p w:rsidR="00BF35F6" w:rsidRDefault="00BF35F6" w:rsidP="00074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pranq eco sans">
    <w:altName w:val="Trebuchet M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560751"/>
      <w:docPartObj>
        <w:docPartGallery w:val="Page Numbers (Bottom of Page)"/>
        <w:docPartUnique/>
      </w:docPartObj>
    </w:sdtPr>
    <w:sdtContent>
      <w:p w:rsidR="004470EF" w:rsidRDefault="004470EF">
        <w:pPr>
          <w:pStyle w:val="Rodap"/>
          <w:jc w:val="right"/>
        </w:pPr>
        <w:r w:rsidRPr="004470EF">
          <w:rPr>
            <w:sz w:val="20"/>
            <w:szCs w:val="20"/>
          </w:rPr>
          <w:fldChar w:fldCharType="begin"/>
        </w:r>
        <w:r w:rsidRPr="004470EF">
          <w:rPr>
            <w:sz w:val="20"/>
            <w:szCs w:val="20"/>
          </w:rPr>
          <w:instrText xml:space="preserve"> PAGE   \* MERGEFORMAT </w:instrText>
        </w:r>
        <w:r w:rsidRPr="004470EF">
          <w:rPr>
            <w:sz w:val="20"/>
            <w:szCs w:val="20"/>
          </w:rPr>
          <w:fldChar w:fldCharType="separate"/>
        </w:r>
        <w:r>
          <w:rPr>
            <w:noProof/>
            <w:sz w:val="20"/>
            <w:szCs w:val="20"/>
          </w:rPr>
          <w:t>11</w:t>
        </w:r>
        <w:r w:rsidRPr="004470EF">
          <w:rPr>
            <w:sz w:val="20"/>
            <w:szCs w:val="20"/>
          </w:rPr>
          <w:fldChar w:fldCharType="end"/>
        </w:r>
      </w:p>
    </w:sdtContent>
  </w:sdt>
  <w:p w:rsidR="004470EF" w:rsidRDefault="00447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F6" w:rsidRDefault="00BF35F6" w:rsidP="0007417B">
      <w:pPr>
        <w:spacing w:after="0" w:line="240" w:lineRule="auto"/>
      </w:pPr>
      <w:r>
        <w:separator/>
      </w:r>
    </w:p>
  </w:footnote>
  <w:footnote w:type="continuationSeparator" w:id="0">
    <w:p w:rsidR="00BF35F6" w:rsidRDefault="00BF35F6" w:rsidP="00074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F6" w:rsidRPr="00AE7724" w:rsidRDefault="00BF35F6" w:rsidP="0007417B">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noProof/>
        <w:sz w:val="24"/>
        <w:szCs w:val="24"/>
        <w:lang w:eastAsia="pt-BR"/>
      </w:rPr>
      <w:drawing>
        <wp:inline distT="0" distB="0" distL="0" distR="0">
          <wp:extent cx="428625" cy="462915"/>
          <wp:effectExtent l="19050" t="0" r="9525" b="0"/>
          <wp:docPr id="1" name="internal-source-marker_0.23868431676674412" descr="https://lh6.googleusercontent.com/3XnU5DS0338XjvnTlV0Kjs9P9FlXDTxxnop9f_9LDjs1Y6NW_o9kWdcSEivFnfZHxsO25hjsHMYzs8T9SnNyO57MZKesgUtEsx7BZdIUbpiIbOvmn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23868431676674412" descr="https://lh6.googleusercontent.com/3XnU5DS0338XjvnTlV0Kjs9P9FlXDTxxnop9f_9LDjs1Y6NW_o9kWdcSEivFnfZHxsO25hjsHMYzs8T9SnNyO57MZKesgUtEsx7BZdIUbpiIbOvmn6g"/>
                  <pic:cNvPicPr>
                    <a:picLocks noChangeAspect="1" noChangeArrowheads="1"/>
                  </pic:cNvPicPr>
                </pic:nvPicPr>
                <pic:blipFill>
                  <a:blip r:embed="rId1"/>
                  <a:srcRect/>
                  <a:stretch>
                    <a:fillRect/>
                  </a:stretch>
                </pic:blipFill>
                <pic:spPr bwMode="auto">
                  <a:xfrm>
                    <a:off x="0" y="0"/>
                    <a:ext cx="428625" cy="462915"/>
                  </a:xfrm>
                  <a:prstGeom prst="rect">
                    <a:avLst/>
                  </a:prstGeom>
                  <a:noFill/>
                  <a:ln w="9525">
                    <a:noFill/>
                    <a:miter lim="800000"/>
                    <a:headEnd/>
                    <a:tailEnd/>
                  </a:ln>
                </pic:spPr>
              </pic:pic>
            </a:graphicData>
          </a:graphic>
        </wp:inline>
      </w:drawing>
    </w:r>
  </w:p>
  <w:p w:rsidR="00BF35F6" w:rsidRPr="007C5E6D" w:rsidRDefault="00BF35F6" w:rsidP="0007417B">
    <w:pPr>
      <w:spacing w:after="0" w:line="240" w:lineRule="auto"/>
      <w:jc w:val="center"/>
      <w:rPr>
        <w:rFonts w:ascii="Spranq eco sans" w:eastAsia="Times New Roman" w:hAnsi="Spranq eco sans"/>
        <w:sz w:val="16"/>
        <w:szCs w:val="16"/>
        <w:lang w:eastAsia="pt-BR"/>
      </w:rPr>
    </w:pPr>
    <w:r w:rsidRPr="007C5E6D">
      <w:rPr>
        <w:rFonts w:ascii="Spranq eco sans" w:eastAsia="Times New Roman" w:hAnsi="Spranq eco sans"/>
        <w:color w:val="000000"/>
        <w:sz w:val="16"/>
        <w:szCs w:val="16"/>
        <w:lang w:eastAsia="pt-BR"/>
      </w:rPr>
      <w:t>MINISTÉRIO DA EDUCAÇÃO</w:t>
    </w:r>
  </w:p>
  <w:p w:rsidR="00BF35F6" w:rsidRPr="007C5E6D" w:rsidRDefault="00BF35F6" w:rsidP="0007417B">
    <w:pPr>
      <w:spacing w:after="0" w:line="240" w:lineRule="auto"/>
      <w:jc w:val="center"/>
      <w:rPr>
        <w:rFonts w:ascii="Spranq eco sans" w:eastAsia="Times New Roman" w:hAnsi="Spranq eco sans"/>
        <w:sz w:val="16"/>
        <w:szCs w:val="16"/>
        <w:lang w:eastAsia="pt-BR"/>
      </w:rPr>
    </w:pPr>
    <w:r w:rsidRPr="007C5E6D">
      <w:rPr>
        <w:rFonts w:ascii="Spranq eco sans" w:eastAsia="Times New Roman" w:hAnsi="Spranq eco sans"/>
        <w:color w:val="000000"/>
        <w:sz w:val="16"/>
        <w:szCs w:val="16"/>
        <w:lang w:eastAsia="pt-BR"/>
      </w:rPr>
      <w:t>UNIVERSIDADE FEDERAL RURAL DE PERNAMBUCO</w:t>
    </w:r>
  </w:p>
  <w:p w:rsidR="00BF35F6" w:rsidRPr="007C5E6D" w:rsidRDefault="00BF35F6" w:rsidP="0007417B">
    <w:pPr>
      <w:spacing w:after="0" w:line="240" w:lineRule="auto"/>
      <w:jc w:val="center"/>
      <w:rPr>
        <w:rFonts w:ascii="Spranq eco sans" w:eastAsia="Times New Roman" w:hAnsi="Spranq eco sans"/>
        <w:sz w:val="16"/>
        <w:szCs w:val="16"/>
        <w:lang w:eastAsia="pt-BR"/>
      </w:rPr>
    </w:pPr>
    <w:r w:rsidRPr="007C5E6D">
      <w:rPr>
        <w:rFonts w:ascii="Spranq eco sans" w:eastAsia="Times New Roman" w:hAnsi="Spranq eco sans"/>
        <w:color w:val="000000"/>
        <w:sz w:val="16"/>
        <w:szCs w:val="16"/>
        <w:lang w:eastAsia="pt-BR"/>
      </w:rPr>
      <w:t>AUDITORIA INTERNA</w:t>
    </w:r>
  </w:p>
  <w:p w:rsidR="00BF35F6" w:rsidRPr="007C5E6D" w:rsidRDefault="00BF35F6" w:rsidP="0007417B">
    <w:pPr>
      <w:spacing w:after="0" w:line="240" w:lineRule="auto"/>
      <w:jc w:val="center"/>
      <w:rPr>
        <w:rFonts w:ascii="Spranq eco sans" w:eastAsia="Times New Roman" w:hAnsi="Spranq eco sans"/>
        <w:sz w:val="16"/>
        <w:szCs w:val="16"/>
        <w:lang w:eastAsia="pt-BR"/>
      </w:rPr>
    </w:pPr>
    <w:r w:rsidRPr="007C5E6D">
      <w:rPr>
        <w:rFonts w:ascii="Spranq eco sans" w:eastAsia="Times New Roman" w:hAnsi="Spranq eco sans"/>
        <w:color w:val="000000"/>
        <w:sz w:val="16"/>
        <w:szCs w:val="16"/>
        <w:lang w:eastAsia="pt-BR"/>
      </w:rPr>
      <w:t>Rua Dom Manoel de Medeiros, s/n - Dois Irmãos; 52171-900 - Recife (PE)</w:t>
    </w:r>
  </w:p>
  <w:p w:rsidR="00BF35F6" w:rsidRDefault="00BF35F6" w:rsidP="0007417B">
    <w:pPr>
      <w:spacing w:after="0" w:line="240" w:lineRule="auto"/>
      <w:jc w:val="center"/>
    </w:pPr>
    <w:r w:rsidRPr="007C5E6D">
      <w:rPr>
        <w:rFonts w:ascii="Spranq eco sans" w:eastAsia="Times New Roman" w:hAnsi="Spranq eco sans"/>
        <w:color w:val="000000"/>
        <w:sz w:val="16"/>
        <w:szCs w:val="16"/>
        <w:lang w:eastAsia="pt-BR"/>
      </w:rPr>
      <w:t>Fone/Fax: (81) 3320-6022; E-mail:</w:t>
    </w:r>
    <w:r w:rsidRPr="007C5E6D">
      <w:rPr>
        <w:rFonts w:ascii="Spranq eco sans" w:eastAsia="Times New Roman" w:hAnsi="Spranq eco sans"/>
        <w:i/>
        <w:iCs/>
        <w:color w:val="000000"/>
        <w:sz w:val="16"/>
        <w:szCs w:val="16"/>
        <w:lang w:eastAsia="pt-BR"/>
      </w:rPr>
      <w:t xml:space="preserve"> </w:t>
    </w:r>
    <w:hyperlink r:id="rId2" w:history="1">
      <w:r w:rsidRPr="005F6880">
        <w:rPr>
          <w:rStyle w:val="Hyperlink"/>
          <w:rFonts w:ascii="Spranq eco sans" w:eastAsia="Times New Roman" w:hAnsi="Spranq eco sans"/>
          <w:i/>
          <w:iCs/>
          <w:sz w:val="16"/>
          <w:szCs w:val="16"/>
          <w:lang w:eastAsia="pt-BR"/>
        </w:rPr>
        <w:t>audin@reitoria.ufrpe.br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B066B"/>
    <w:multiLevelType w:val="hybridMultilevel"/>
    <w:tmpl w:val="30F6BF6E"/>
    <w:lvl w:ilvl="0" w:tplc="2030291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353A5B"/>
    <w:multiLevelType w:val="hybridMultilevel"/>
    <w:tmpl w:val="DED090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83136E6"/>
    <w:multiLevelType w:val="hybridMultilevel"/>
    <w:tmpl w:val="1316A9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8556D6"/>
    <w:multiLevelType w:val="hybridMultilevel"/>
    <w:tmpl w:val="732CE8A0"/>
    <w:lvl w:ilvl="0" w:tplc="283CF5BE">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5">
    <w:nsid w:val="5EE6670F"/>
    <w:multiLevelType w:val="hybridMultilevel"/>
    <w:tmpl w:val="E8BCF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A272115"/>
    <w:multiLevelType w:val="hybridMultilevel"/>
    <w:tmpl w:val="C3145D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754A49"/>
    <w:multiLevelType w:val="hybridMultilevel"/>
    <w:tmpl w:val="A718D5FA"/>
    <w:lvl w:ilvl="0" w:tplc="04160013">
      <w:start w:val="1"/>
      <w:numFmt w:val="upperRoman"/>
      <w:lvlText w:val="%1."/>
      <w:lvlJc w:val="righ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num w:numId="1">
    <w:abstractNumId w:val="1"/>
  </w:num>
  <w:num w:numId="2">
    <w:abstractNumId w:val="7"/>
  </w:num>
  <w:num w:numId="3">
    <w:abstractNumId w:val="3"/>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07417B"/>
    <w:rsid w:val="000135E0"/>
    <w:rsid w:val="0001411E"/>
    <w:rsid w:val="00014F84"/>
    <w:rsid w:val="00037209"/>
    <w:rsid w:val="000639C4"/>
    <w:rsid w:val="00066BED"/>
    <w:rsid w:val="0007417B"/>
    <w:rsid w:val="000A493A"/>
    <w:rsid w:val="000E2573"/>
    <w:rsid w:val="000F021D"/>
    <w:rsid w:val="00112957"/>
    <w:rsid w:val="0013225A"/>
    <w:rsid w:val="001374A4"/>
    <w:rsid w:val="001566DA"/>
    <w:rsid w:val="0016535B"/>
    <w:rsid w:val="00176089"/>
    <w:rsid w:val="001857F8"/>
    <w:rsid w:val="00186377"/>
    <w:rsid w:val="001B4AB7"/>
    <w:rsid w:val="001C6202"/>
    <w:rsid w:val="001C622A"/>
    <w:rsid w:val="001C62DA"/>
    <w:rsid w:val="001E2CFF"/>
    <w:rsid w:val="001E7198"/>
    <w:rsid w:val="001F4ED7"/>
    <w:rsid w:val="00207C0B"/>
    <w:rsid w:val="00213541"/>
    <w:rsid w:val="002159F3"/>
    <w:rsid w:val="0021603F"/>
    <w:rsid w:val="002268EC"/>
    <w:rsid w:val="002322AA"/>
    <w:rsid w:val="0023655D"/>
    <w:rsid w:val="00236981"/>
    <w:rsid w:val="00240566"/>
    <w:rsid w:val="0025104E"/>
    <w:rsid w:val="002526DB"/>
    <w:rsid w:val="0025656A"/>
    <w:rsid w:val="00276130"/>
    <w:rsid w:val="00276209"/>
    <w:rsid w:val="00295C6E"/>
    <w:rsid w:val="002B6DD4"/>
    <w:rsid w:val="002C0FCC"/>
    <w:rsid w:val="002C6924"/>
    <w:rsid w:val="002D44CC"/>
    <w:rsid w:val="002D5171"/>
    <w:rsid w:val="002E12FD"/>
    <w:rsid w:val="002E66D0"/>
    <w:rsid w:val="0031421A"/>
    <w:rsid w:val="003168B3"/>
    <w:rsid w:val="00321898"/>
    <w:rsid w:val="00324787"/>
    <w:rsid w:val="0032783B"/>
    <w:rsid w:val="003303C9"/>
    <w:rsid w:val="00337F91"/>
    <w:rsid w:val="003476FB"/>
    <w:rsid w:val="0035429D"/>
    <w:rsid w:val="00354CD8"/>
    <w:rsid w:val="00373C1A"/>
    <w:rsid w:val="00387ACB"/>
    <w:rsid w:val="00390A3C"/>
    <w:rsid w:val="00390FCC"/>
    <w:rsid w:val="003A1611"/>
    <w:rsid w:val="003A4E4F"/>
    <w:rsid w:val="003B35D9"/>
    <w:rsid w:val="00402C85"/>
    <w:rsid w:val="0040552B"/>
    <w:rsid w:val="00416495"/>
    <w:rsid w:val="00436CE7"/>
    <w:rsid w:val="0043742D"/>
    <w:rsid w:val="00437C5B"/>
    <w:rsid w:val="00443E7C"/>
    <w:rsid w:val="00444214"/>
    <w:rsid w:val="004470EF"/>
    <w:rsid w:val="00456879"/>
    <w:rsid w:val="00456C20"/>
    <w:rsid w:val="00472D0C"/>
    <w:rsid w:val="0047306E"/>
    <w:rsid w:val="00481D18"/>
    <w:rsid w:val="0049019E"/>
    <w:rsid w:val="004A266E"/>
    <w:rsid w:val="004B374F"/>
    <w:rsid w:val="004C60EB"/>
    <w:rsid w:val="004C6639"/>
    <w:rsid w:val="004D5314"/>
    <w:rsid w:val="004E0F0B"/>
    <w:rsid w:val="004E2DBC"/>
    <w:rsid w:val="004F315E"/>
    <w:rsid w:val="004F62AF"/>
    <w:rsid w:val="00503971"/>
    <w:rsid w:val="00510448"/>
    <w:rsid w:val="00515F9C"/>
    <w:rsid w:val="00545A26"/>
    <w:rsid w:val="00545B8A"/>
    <w:rsid w:val="0055555E"/>
    <w:rsid w:val="005762D1"/>
    <w:rsid w:val="00577A32"/>
    <w:rsid w:val="00582672"/>
    <w:rsid w:val="00583830"/>
    <w:rsid w:val="0058633E"/>
    <w:rsid w:val="005906ED"/>
    <w:rsid w:val="005925DC"/>
    <w:rsid w:val="00594BF1"/>
    <w:rsid w:val="005A1DD0"/>
    <w:rsid w:val="005E4E9C"/>
    <w:rsid w:val="005F1D1D"/>
    <w:rsid w:val="005F5429"/>
    <w:rsid w:val="00606E4A"/>
    <w:rsid w:val="006073A5"/>
    <w:rsid w:val="00607861"/>
    <w:rsid w:val="00623AD1"/>
    <w:rsid w:val="00624CE7"/>
    <w:rsid w:val="006261F0"/>
    <w:rsid w:val="0062644F"/>
    <w:rsid w:val="00626BCA"/>
    <w:rsid w:val="00631BB0"/>
    <w:rsid w:val="00645E77"/>
    <w:rsid w:val="00646351"/>
    <w:rsid w:val="00646EA3"/>
    <w:rsid w:val="00651BF5"/>
    <w:rsid w:val="00656F4C"/>
    <w:rsid w:val="0065737E"/>
    <w:rsid w:val="00662AC4"/>
    <w:rsid w:val="006720DC"/>
    <w:rsid w:val="006721FE"/>
    <w:rsid w:val="00673A83"/>
    <w:rsid w:val="00673D91"/>
    <w:rsid w:val="0068311B"/>
    <w:rsid w:val="00684804"/>
    <w:rsid w:val="00694BDE"/>
    <w:rsid w:val="006A3193"/>
    <w:rsid w:val="006A31B9"/>
    <w:rsid w:val="006A68E4"/>
    <w:rsid w:val="006B5FA3"/>
    <w:rsid w:val="006C1FC4"/>
    <w:rsid w:val="006D359D"/>
    <w:rsid w:val="006D4125"/>
    <w:rsid w:val="006E01F3"/>
    <w:rsid w:val="006E50D7"/>
    <w:rsid w:val="006E7C90"/>
    <w:rsid w:val="00705AE3"/>
    <w:rsid w:val="00706E06"/>
    <w:rsid w:val="00727C3C"/>
    <w:rsid w:val="0073061B"/>
    <w:rsid w:val="0073295C"/>
    <w:rsid w:val="007343E2"/>
    <w:rsid w:val="0077202D"/>
    <w:rsid w:val="007839DA"/>
    <w:rsid w:val="00784212"/>
    <w:rsid w:val="00790027"/>
    <w:rsid w:val="00793F26"/>
    <w:rsid w:val="007A2B45"/>
    <w:rsid w:val="007A6004"/>
    <w:rsid w:val="007B1CEF"/>
    <w:rsid w:val="007C0040"/>
    <w:rsid w:val="007D2DE4"/>
    <w:rsid w:val="00815B37"/>
    <w:rsid w:val="00816ABD"/>
    <w:rsid w:val="008174A8"/>
    <w:rsid w:val="0083336E"/>
    <w:rsid w:val="00840A3F"/>
    <w:rsid w:val="0084108F"/>
    <w:rsid w:val="00862127"/>
    <w:rsid w:val="00881CE8"/>
    <w:rsid w:val="00893B83"/>
    <w:rsid w:val="008948A5"/>
    <w:rsid w:val="00894EF9"/>
    <w:rsid w:val="008B43D6"/>
    <w:rsid w:val="008B6C84"/>
    <w:rsid w:val="008C098D"/>
    <w:rsid w:val="008C16C9"/>
    <w:rsid w:val="008D17AC"/>
    <w:rsid w:val="008D51B5"/>
    <w:rsid w:val="008E466E"/>
    <w:rsid w:val="008E55B2"/>
    <w:rsid w:val="008F0F12"/>
    <w:rsid w:val="008F25C1"/>
    <w:rsid w:val="008F7AF9"/>
    <w:rsid w:val="008F7FDF"/>
    <w:rsid w:val="009043DB"/>
    <w:rsid w:val="00905649"/>
    <w:rsid w:val="00936B85"/>
    <w:rsid w:val="009729CD"/>
    <w:rsid w:val="00972E8A"/>
    <w:rsid w:val="0097522F"/>
    <w:rsid w:val="00975B24"/>
    <w:rsid w:val="00982218"/>
    <w:rsid w:val="009843F4"/>
    <w:rsid w:val="009B6EA1"/>
    <w:rsid w:val="009C4FAA"/>
    <w:rsid w:val="009D13F6"/>
    <w:rsid w:val="009D30DB"/>
    <w:rsid w:val="009D4F46"/>
    <w:rsid w:val="009D5B22"/>
    <w:rsid w:val="009D65FE"/>
    <w:rsid w:val="009D684B"/>
    <w:rsid w:val="009E6229"/>
    <w:rsid w:val="00A10FCE"/>
    <w:rsid w:val="00A1457C"/>
    <w:rsid w:val="00A24171"/>
    <w:rsid w:val="00A260BE"/>
    <w:rsid w:val="00A32EC3"/>
    <w:rsid w:val="00A36619"/>
    <w:rsid w:val="00A36C26"/>
    <w:rsid w:val="00A55508"/>
    <w:rsid w:val="00A679FE"/>
    <w:rsid w:val="00A706BF"/>
    <w:rsid w:val="00A90D35"/>
    <w:rsid w:val="00A93B70"/>
    <w:rsid w:val="00AC21BA"/>
    <w:rsid w:val="00AC3870"/>
    <w:rsid w:val="00AC3FD2"/>
    <w:rsid w:val="00AC734D"/>
    <w:rsid w:val="00AE703E"/>
    <w:rsid w:val="00AE7B08"/>
    <w:rsid w:val="00B02C94"/>
    <w:rsid w:val="00B05C29"/>
    <w:rsid w:val="00B05E29"/>
    <w:rsid w:val="00B14A83"/>
    <w:rsid w:val="00B15D1F"/>
    <w:rsid w:val="00B16F57"/>
    <w:rsid w:val="00B24ED7"/>
    <w:rsid w:val="00B40321"/>
    <w:rsid w:val="00B430BE"/>
    <w:rsid w:val="00B4385C"/>
    <w:rsid w:val="00B530C4"/>
    <w:rsid w:val="00B5574E"/>
    <w:rsid w:val="00B674C0"/>
    <w:rsid w:val="00B7268C"/>
    <w:rsid w:val="00B75077"/>
    <w:rsid w:val="00B8167D"/>
    <w:rsid w:val="00B81E18"/>
    <w:rsid w:val="00B877C3"/>
    <w:rsid w:val="00BA0618"/>
    <w:rsid w:val="00BA231D"/>
    <w:rsid w:val="00BB0580"/>
    <w:rsid w:val="00BB7A17"/>
    <w:rsid w:val="00BC261C"/>
    <w:rsid w:val="00BC382A"/>
    <w:rsid w:val="00BD27F0"/>
    <w:rsid w:val="00BF2AAE"/>
    <w:rsid w:val="00BF32AA"/>
    <w:rsid w:val="00BF35F6"/>
    <w:rsid w:val="00BF6D3F"/>
    <w:rsid w:val="00BF79F8"/>
    <w:rsid w:val="00C10C5C"/>
    <w:rsid w:val="00C13651"/>
    <w:rsid w:val="00C23ACA"/>
    <w:rsid w:val="00C45713"/>
    <w:rsid w:val="00C463DF"/>
    <w:rsid w:val="00C52654"/>
    <w:rsid w:val="00C731BE"/>
    <w:rsid w:val="00C776C7"/>
    <w:rsid w:val="00C826AC"/>
    <w:rsid w:val="00C87796"/>
    <w:rsid w:val="00CB3F0A"/>
    <w:rsid w:val="00CC3051"/>
    <w:rsid w:val="00CD1AF0"/>
    <w:rsid w:val="00CE28E8"/>
    <w:rsid w:val="00CF598C"/>
    <w:rsid w:val="00CF5CA2"/>
    <w:rsid w:val="00D03B85"/>
    <w:rsid w:val="00D16AF7"/>
    <w:rsid w:val="00D3183F"/>
    <w:rsid w:val="00D40211"/>
    <w:rsid w:val="00D415F4"/>
    <w:rsid w:val="00D512A2"/>
    <w:rsid w:val="00D5322C"/>
    <w:rsid w:val="00D70819"/>
    <w:rsid w:val="00D74158"/>
    <w:rsid w:val="00D7713F"/>
    <w:rsid w:val="00D833EC"/>
    <w:rsid w:val="00D9669A"/>
    <w:rsid w:val="00DA6DCF"/>
    <w:rsid w:val="00DB3188"/>
    <w:rsid w:val="00DB5369"/>
    <w:rsid w:val="00DC2909"/>
    <w:rsid w:val="00DC59CB"/>
    <w:rsid w:val="00DD1C4E"/>
    <w:rsid w:val="00DF1ABC"/>
    <w:rsid w:val="00DF7263"/>
    <w:rsid w:val="00DF74B1"/>
    <w:rsid w:val="00E01307"/>
    <w:rsid w:val="00E04AC3"/>
    <w:rsid w:val="00E06EF1"/>
    <w:rsid w:val="00E07382"/>
    <w:rsid w:val="00E43D22"/>
    <w:rsid w:val="00E763B7"/>
    <w:rsid w:val="00E90B00"/>
    <w:rsid w:val="00E910FB"/>
    <w:rsid w:val="00E95F0F"/>
    <w:rsid w:val="00EA1CB1"/>
    <w:rsid w:val="00EA1F9E"/>
    <w:rsid w:val="00EB081C"/>
    <w:rsid w:val="00EC7AF8"/>
    <w:rsid w:val="00ED2394"/>
    <w:rsid w:val="00ED3843"/>
    <w:rsid w:val="00EE16F9"/>
    <w:rsid w:val="00EE28E8"/>
    <w:rsid w:val="00EE6375"/>
    <w:rsid w:val="00EF6379"/>
    <w:rsid w:val="00EF7E63"/>
    <w:rsid w:val="00F05700"/>
    <w:rsid w:val="00F17E49"/>
    <w:rsid w:val="00F2452F"/>
    <w:rsid w:val="00F3671C"/>
    <w:rsid w:val="00F40892"/>
    <w:rsid w:val="00F40DB2"/>
    <w:rsid w:val="00F45EF8"/>
    <w:rsid w:val="00F514D7"/>
    <w:rsid w:val="00F520B7"/>
    <w:rsid w:val="00F60C30"/>
    <w:rsid w:val="00F61CF2"/>
    <w:rsid w:val="00F83A78"/>
    <w:rsid w:val="00F83A9E"/>
    <w:rsid w:val="00F96B8D"/>
    <w:rsid w:val="00FA1F39"/>
    <w:rsid w:val="00FE414B"/>
    <w:rsid w:val="00FF5F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41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417B"/>
  </w:style>
  <w:style w:type="paragraph" w:styleId="Rodap">
    <w:name w:val="footer"/>
    <w:basedOn w:val="Normal"/>
    <w:link w:val="RodapChar"/>
    <w:uiPriority w:val="99"/>
    <w:unhideWhenUsed/>
    <w:rsid w:val="0007417B"/>
    <w:pPr>
      <w:tabs>
        <w:tab w:val="center" w:pos="4252"/>
        <w:tab w:val="right" w:pos="8504"/>
      </w:tabs>
      <w:spacing w:after="0" w:line="240" w:lineRule="auto"/>
    </w:pPr>
  </w:style>
  <w:style w:type="character" w:customStyle="1" w:styleId="RodapChar">
    <w:name w:val="Rodapé Char"/>
    <w:basedOn w:val="Fontepargpadro"/>
    <w:link w:val="Rodap"/>
    <w:uiPriority w:val="99"/>
    <w:rsid w:val="0007417B"/>
  </w:style>
  <w:style w:type="character" w:styleId="Hyperlink">
    <w:name w:val="Hyperlink"/>
    <w:uiPriority w:val="99"/>
    <w:unhideWhenUsed/>
    <w:rsid w:val="0007417B"/>
    <w:rPr>
      <w:color w:val="0000FF"/>
      <w:u w:val="single"/>
    </w:rPr>
  </w:style>
  <w:style w:type="paragraph" w:styleId="Textodebalo">
    <w:name w:val="Balloon Text"/>
    <w:basedOn w:val="Normal"/>
    <w:link w:val="TextodebaloChar"/>
    <w:uiPriority w:val="99"/>
    <w:semiHidden/>
    <w:unhideWhenUsed/>
    <w:rsid w:val="000741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417B"/>
    <w:rPr>
      <w:rFonts w:ascii="Tahoma" w:hAnsi="Tahoma" w:cs="Tahoma"/>
      <w:sz w:val="16"/>
      <w:szCs w:val="16"/>
    </w:rPr>
  </w:style>
  <w:style w:type="paragraph" w:styleId="PargrafodaLista">
    <w:name w:val="List Paragraph"/>
    <w:basedOn w:val="Normal"/>
    <w:uiPriority w:val="34"/>
    <w:qFormat/>
    <w:rsid w:val="00656F4C"/>
    <w:pPr>
      <w:ind w:left="720"/>
      <w:contextualSpacing/>
    </w:pPr>
  </w:style>
  <w:style w:type="table" w:styleId="Tabelacomgrade">
    <w:name w:val="Table Grid"/>
    <w:basedOn w:val="Tabelanormal"/>
    <w:uiPriority w:val="59"/>
    <w:rsid w:val="0029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45713"/>
    <w:pPr>
      <w:suppressAutoHyphens/>
      <w:spacing w:before="100" w:after="100" w:line="240" w:lineRule="auto"/>
    </w:pPr>
    <w:rPr>
      <w:rFonts w:ascii="Times New Roman" w:eastAsia="Times New Roman" w:hAnsi="Times New Roman" w:cs="Times New Roman"/>
      <w:sz w:val="24"/>
      <w:szCs w:val="20"/>
      <w:lang w:eastAsia="ar-SA"/>
    </w:rPr>
  </w:style>
  <w:style w:type="character" w:customStyle="1" w:styleId="apple-converted-space">
    <w:name w:val="apple-converted-space"/>
    <w:basedOn w:val="Fontepargpadro"/>
    <w:rsid w:val="00E06EF1"/>
  </w:style>
</w:styles>
</file>

<file path=word/webSettings.xml><?xml version="1.0" encoding="utf-8"?>
<w:webSettings xmlns:r="http://schemas.openxmlformats.org/officeDocument/2006/relationships" xmlns:w="http://schemas.openxmlformats.org/wordprocessingml/2006/main">
  <w:divs>
    <w:div w:id="410851086">
      <w:bodyDiv w:val="1"/>
      <w:marLeft w:val="0"/>
      <w:marRight w:val="0"/>
      <w:marTop w:val="0"/>
      <w:marBottom w:val="0"/>
      <w:divBdr>
        <w:top w:val="none" w:sz="0" w:space="0" w:color="auto"/>
        <w:left w:val="none" w:sz="0" w:space="0" w:color="auto"/>
        <w:bottom w:val="none" w:sz="0" w:space="0" w:color="auto"/>
        <w:right w:val="none" w:sz="0" w:space="0" w:color="auto"/>
      </w:divBdr>
    </w:div>
    <w:div w:id="936641593">
      <w:bodyDiv w:val="1"/>
      <w:marLeft w:val="0"/>
      <w:marRight w:val="0"/>
      <w:marTop w:val="0"/>
      <w:marBottom w:val="0"/>
      <w:divBdr>
        <w:top w:val="none" w:sz="0" w:space="0" w:color="auto"/>
        <w:left w:val="none" w:sz="0" w:space="0" w:color="auto"/>
        <w:bottom w:val="none" w:sz="0" w:space="0" w:color="auto"/>
        <w:right w:val="none" w:sz="0" w:space="0" w:color="auto"/>
      </w:divBdr>
    </w:div>
    <w:div w:id="1040740729">
      <w:bodyDiv w:val="1"/>
      <w:marLeft w:val="0"/>
      <w:marRight w:val="0"/>
      <w:marTop w:val="0"/>
      <w:marBottom w:val="0"/>
      <w:divBdr>
        <w:top w:val="none" w:sz="0" w:space="0" w:color="auto"/>
        <w:left w:val="none" w:sz="0" w:space="0" w:color="auto"/>
        <w:bottom w:val="none" w:sz="0" w:space="0" w:color="auto"/>
        <w:right w:val="none" w:sz="0" w:space="0" w:color="auto"/>
      </w:divBdr>
    </w:div>
    <w:div w:id="2050719117">
      <w:bodyDiv w:val="1"/>
      <w:marLeft w:val="0"/>
      <w:marRight w:val="0"/>
      <w:marTop w:val="0"/>
      <w:marBottom w:val="0"/>
      <w:divBdr>
        <w:top w:val="none" w:sz="0" w:space="0" w:color="auto"/>
        <w:left w:val="none" w:sz="0" w:space="0" w:color="auto"/>
        <w:bottom w:val="none" w:sz="0" w:space="0" w:color="auto"/>
        <w:right w:val="none" w:sz="0" w:space="0" w:color="auto"/>
      </w:divBdr>
    </w:div>
    <w:div w:id="20894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udin@reitoria.ufrpe.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10343-9745-44BC-AF46-CD3BFC45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12</Pages>
  <Words>3110</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UFRPE</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Sercundes</dc:creator>
  <cp:lastModifiedBy>AUDIN-3</cp:lastModifiedBy>
  <cp:revision>106</cp:revision>
  <cp:lastPrinted>2015-11-18T13:21:00Z</cp:lastPrinted>
  <dcterms:created xsi:type="dcterms:W3CDTF">2016-01-12T14:53:00Z</dcterms:created>
  <dcterms:modified xsi:type="dcterms:W3CDTF">2016-11-18T18:31:00Z</dcterms:modified>
</cp:coreProperties>
</file>